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8" w:rsidRPr="007C613E" w:rsidRDefault="00F05138" w:rsidP="007C613E">
      <w:pPr>
        <w:pStyle w:val="Heading1"/>
      </w:pPr>
      <w:r>
        <w:t>Tiszaderzs K</w:t>
      </w:r>
      <w:r w:rsidRPr="007C613E">
        <w:t>özség</w:t>
      </w:r>
      <w:r>
        <w:t>i</w:t>
      </w:r>
      <w:r w:rsidRPr="007C613E">
        <w:t xml:space="preserve"> </w:t>
      </w:r>
      <w:r>
        <w:t>Önkormányzat</w:t>
      </w:r>
      <w:r w:rsidRPr="007C613E">
        <w:t xml:space="preserve"> </w:t>
      </w:r>
      <w:r>
        <w:t>K</w:t>
      </w:r>
      <w:r w:rsidRPr="007C613E">
        <w:t>épviselő-testületének</w:t>
      </w:r>
    </w:p>
    <w:p w:rsidR="00F05138" w:rsidRDefault="00F05138" w:rsidP="007C613E">
      <w:pPr>
        <w:pStyle w:val="Heading1"/>
      </w:pPr>
      <w:r>
        <w:t xml:space="preserve">../2018. </w:t>
      </w:r>
      <w:r w:rsidRPr="007C613E">
        <w:t xml:space="preserve">(…...) </w:t>
      </w:r>
    </w:p>
    <w:p w:rsidR="00F05138" w:rsidRPr="007C613E" w:rsidRDefault="00F05138" w:rsidP="007C613E">
      <w:pPr>
        <w:pStyle w:val="Heading1"/>
      </w:pPr>
      <w:r>
        <w:t>Ö</w:t>
      </w:r>
      <w:r w:rsidRPr="007C613E">
        <w:t>nkormányzati rendelete</w:t>
      </w:r>
    </w:p>
    <w:p w:rsidR="00F05138" w:rsidRPr="007C613E" w:rsidRDefault="00F05138" w:rsidP="007C613E">
      <w:pPr>
        <w:pStyle w:val="Heading1"/>
      </w:pPr>
      <w:r>
        <w:t>Tiszaderzs K</w:t>
      </w:r>
      <w:r w:rsidRPr="007C613E">
        <w:t>özség településképének védelméről</w:t>
      </w:r>
    </w:p>
    <w:p w:rsidR="00F05138" w:rsidRDefault="00F05138" w:rsidP="007C613E"/>
    <w:p w:rsidR="00F05138" w:rsidRDefault="00F05138" w:rsidP="00CD430C"/>
    <w:p w:rsidR="00F05138" w:rsidRPr="0083178C" w:rsidRDefault="00F05138" w:rsidP="002720C8">
      <w:r>
        <w:t>Tiszaderzs Község Önkormányzat</w:t>
      </w:r>
      <w:r w:rsidRPr="0083178C">
        <w:t xml:space="preserve"> Képviselő-testülete a</w:t>
      </w:r>
      <w:r>
        <w:t>z Alaptörvény 32.cikk (2) bekezdésében, az épített környezet alakításáról és védelméről szóló 1997. évi LXXVIII. törvény 6/A.§-ában, valamint</w:t>
      </w:r>
      <w:r w:rsidRPr="0083178C">
        <w:t xml:space="preserve"> </w:t>
      </w:r>
      <w:r>
        <w:t xml:space="preserve">a </w:t>
      </w:r>
      <w:r w:rsidRPr="0083178C">
        <w:t>településkép védelméről szóló 2016. évi LXXIV. tv</w:t>
      </w:r>
      <w:r>
        <w:t xml:space="preserve">. 12. § (2) bekezdésében </w:t>
      </w:r>
      <w:r w:rsidRPr="0083178C">
        <w:t>kapott felhatalmazás alapján, az Alaptörvény 32. cikk (1) bekezdés a) pontjában</w:t>
      </w:r>
      <w:r>
        <w:t xml:space="preserve">, valamint Magyarország helyi önkormányzatiról szóló 2011. évi CLXXXIX. törvény 2.§ (2) bekezdésében, valamint a 2016. évi LXXIV. törvény 2. § (2) bekezdésében </w:t>
      </w:r>
      <w:r w:rsidRPr="0083178C">
        <w:t xml:space="preserve"> meghatározott feladatkörében eljárva – a településfejlesztési koncepcióról, az integrált településfejlesztési stratégiáról és a településrendezési eszközökről, valamint egyes településrendezési sajátos jogintézményekről szóló 314/2012. (XI.8.) Korm. rendelet</w:t>
      </w:r>
      <w:r>
        <w:t xml:space="preserve"> 28. § (1) bekezdésében előírt partnerségi egyeztetés lefolytatásával, továbbá a</w:t>
      </w:r>
      <w:r w:rsidRPr="0083178C">
        <w:t xml:space="preserve"> 43/A §-ban biztosított véleményezési jogkörében eljáró</w:t>
      </w:r>
    </w:p>
    <w:p w:rsidR="00F05138" w:rsidRDefault="00F05138" w:rsidP="00D36666">
      <w:pPr>
        <w:pStyle w:val="ListParagraph"/>
        <w:numPr>
          <w:ilvl w:val="0"/>
          <w:numId w:val="12"/>
        </w:numPr>
      </w:pPr>
      <w:r>
        <w:t>…..</w:t>
      </w:r>
    </w:p>
    <w:p w:rsidR="00F05138" w:rsidRPr="0083178C" w:rsidRDefault="00F05138" w:rsidP="00D36666">
      <w:pPr>
        <w:pStyle w:val="ListParagraph"/>
        <w:numPr>
          <w:ilvl w:val="0"/>
          <w:numId w:val="12"/>
        </w:numPr>
      </w:pPr>
      <w:r w:rsidRPr="0083178C">
        <w:t>a partnerségi egyeztetés szabályai szerint bevont partnerek (teljes helyi lakosság, érdekképviseleti, civil és gazdálkodó szervezetek, vallási közösségek)</w:t>
      </w:r>
    </w:p>
    <w:p w:rsidR="00F05138" w:rsidRPr="0083178C" w:rsidRDefault="00F05138" w:rsidP="002720C8">
      <w:r w:rsidRPr="0083178C">
        <w:t>véleményének kikérésével a következőket rendeli el:</w:t>
      </w:r>
    </w:p>
    <w:p w:rsidR="00F05138" w:rsidRDefault="00F05138" w:rsidP="00F356B1"/>
    <w:p w:rsidR="00F05138" w:rsidRDefault="00F05138" w:rsidP="007C613E"/>
    <w:p w:rsidR="00F05138" w:rsidRDefault="00F05138" w:rsidP="007C613E">
      <w:pPr>
        <w:pStyle w:val="Rmaiszmoscm"/>
      </w:pPr>
      <w:r>
        <w:t>Fejezet</w:t>
      </w:r>
    </w:p>
    <w:p w:rsidR="00F05138" w:rsidRPr="002E0DFE" w:rsidRDefault="00F05138" w:rsidP="002E0DFE">
      <w:pPr>
        <w:pStyle w:val="Subtitle"/>
      </w:pPr>
      <w:r>
        <w:t>Általános</w:t>
      </w:r>
      <w:r w:rsidRPr="002E0DFE">
        <w:t xml:space="preserve"> rendelkezések</w:t>
      </w:r>
    </w:p>
    <w:p w:rsidR="00F05138" w:rsidRPr="007C613E" w:rsidRDefault="00F05138" w:rsidP="00F62479">
      <w:pPr>
        <w:pStyle w:val="Heading3"/>
      </w:pPr>
      <w:r w:rsidRPr="007C613E">
        <w:t xml:space="preserve">A rendelet célja, hatálya és </w:t>
      </w:r>
      <w:r w:rsidRPr="002E0DFE">
        <w:t>alkalmazása</w:t>
      </w:r>
    </w:p>
    <w:p w:rsidR="00F05138" w:rsidRPr="007C613E" w:rsidRDefault="00F05138" w:rsidP="00EE3479">
      <w:pPr>
        <w:pStyle w:val="Heading5"/>
      </w:pPr>
      <w:r w:rsidRPr="007C613E">
        <w:t>§</w:t>
      </w:r>
    </w:p>
    <w:p w:rsidR="00F05138" w:rsidRDefault="00F05138" w:rsidP="007C613E"/>
    <w:p w:rsidR="00F05138" w:rsidRPr="0083178C" w:rsidRDefault="00F05138" w:rsidP="002720C8">
      <w:r>
        <w:t>E rendelet célja Tiszaderzs</w:t>
      </w:r>
      <w:r w:rsidRPr="0083178C">
        <w:t xml:space="preserve"> Község sajátos településképének, jellegzetes arculatának megőrzése, védelme és alakítása érdekéb</w:t>
      </w:r>
      <w:r>
        <w:t>en a helyi épített</w:t>
      </w:r>
      <w:r w:rsidRPr="0083178C">
        <w:t xml:space="preserve"> örökség meghatározása, a védetté nyilvánítás és védelem megszüntetés szabályozása, a településképi szempontból meghatározó területek, a településképi követelmények megállapítása és a településkép – érvényesítési eszközök szabályozása.</w:t>
      </w:r>
    </w:p>
    <w:p w:rsidR="00F05138" w:rsidRDefault="00F05138" w:rsidP="00686B61">
      <w:pPr>
        <w:rPr>
          <w:rFonts w:ascii="Cambria" w:hAnsi="Cambria" w:cs="Cambria"/>
        </w:rPr>
      </w:pPr>
    </w:p>
    <w:p w:rsidR="00F05138" w:rsidRDefault="00F05138" w:rsidP="00686B61">
      <w:pPr>
        <w:rPr>
          <w:rFonts w:ascii="Cambria" w:hAnsi="Cambria" w:cs="Cambria"/>
        </w:rPr>
      </w:pPr>
    </w:p>
    <w:p w:rsidR="00F05138" w:rsidRDefault="00F05138" w:rsidP="00686B61">
      <w:pPr>
        <w:rPr>
          <w:rFonts w:ascii="Cambria" w:hAnsi="Cambria" w:cs="Cambria"/>
        </w:rPr>
      </w:pPr>
    </w:p>
    <w:p w:rsidR="00F05138" w:rsidRDefault="00F05138" w:rsidP="00686B61">
      <w:pPr>
        <w:rPr>
          <w:rFonts w:ascii="Cambria" w:hAnsi="Cambria" w:cs="Cambria"/>
        </w:rPr>
      </w:pPr>
    </w:p>
    <w:p w:rsidR="00F05138" w:rsidRDefault="00F05138" w:rsidP="00686B61">
      <w:pPr>
        <w:rPr>
          <w:rFonts w:ascii="Cambria" w:hAnsi="Cambria" w:cs="Cambria"/>
        </w:rPr>
      </w:pPr>
    </w:p>
    <w:p w:rsidR="00F05138" w:rsidRPr="00EA2A0E" w:rsidRDefault="00F05138" w:rsidP="00F62479">
      <w:pPr>
        <w:pStyle w:val="Heading3"/>
      </w:pPr>
      <w:r w:rsidRPr="007C613E">
        <w:t>Értelmező rendelkezések</w:t>
      </w:r>
    </w:p>
    <w:p w:rsidR="00F05138" w:rsidRPr="007C613E" w:rsidRDefault="00F05138" w:rsidP="00EE3479">
      <w:pPr>
        <w:pStyle w:val="Heading5"/>
      </w:pPr>
      <w:r w:rsidRPr="007C613E">
        <w:t>§</w:t>
      </w:r>
    </w:p>
    <w:p w:rsidR="00F05138" w:rsidRDefault="00F05138" w:rsidP="00912B1D"/>
    <w:p w:rsidR="00F05138" w:rsidRPr="00133F0C" w:rsidRDefault="00F05138" w:rsidP="002720C8">
      <w:r w:rsidRPr="00133F0C">
        <w:t>E rendelet alkalmazásában:</w:t>
      </w:r>
    </w:p>
    <w:p w:rsidR="00F05138" w:rsidRPr="003A7EB0" w:rsidRDefault="00F05138" w:rsidP="002720C8">
      <w:pPr>
        <w:pStyle w:val="Heading4"/>
      </w:pPr>
      <w:r w:rsidRPr="00133F0C">
        <w:rPr>
          <w:i/>
          <w:iCs/>
        </w:rPr>
        <w:t>Pasztell szín</w:t>
      </w:r>
      <w:r w:rsidRPr="00133F0C">
        <w:t>: a színek nagyon világos és kis telítettségű árnyalatai, melyeknek (a szín mellett) csak fehértartalma van, fekete nincs.</w:t>
      </w:r>
    </w:p>
    <w:p w:rsidR="00F05138" w:rsidRPr="00133F0C" w:rsidRDefault="00F05138" w:rsidP="002720C8">
      <w:pPr>
        <w:pStyle w:val="Heading4"/>
        <w:rPr>
          <w:i/>
          <w:iCs/>
        </w:rPr>
      </w:pPr>
      <w:r w:rsidRPr="00133F0C">
        <w:rPr>
          <w:i/>
          <w:iCs/>
        </w:rPr>
        <w:t xml:space="preserve">Föld színek (terra színek): </w:t>
      </w:r>
      <w:r w:rsidRPr="00133F0C">
        <w:t xml:space="preserve">tört, sötét, meleg színek, melyek színtartománya a vörös – narancs - sárga – zöldessárga </w:t>
      </w:r>
    </w:p>
    <w:p w:rsidR="00F05138" w:rsidRPr="007C613E" w:rsidRDefault="00F05138" w:rsidP="00912B1D"/>
    <w:p w:rsidR="00F05138" w:rsidRPr="002E0DFE" w:rsidRDefault="00F05138" w:rsidP="002E0DFE">
      <w:pPr>
        <w:pStyle w:val="Rmaiszmoscm"/>
      </w:pPr>
      <w:r w:rsidRPr="002E0DFE">
        <w:t>Fejezet</w:t>
      </w:r>
    </w:p>
    <w:p w:rsidR="00F05138" w:rsidRPr="007C613E" w:rsidRDefault="00F05138" w:rsidP="002E0DFE">
      <w:pPr>
        <w:pStyle w:val="Subtitle"/>
      </w:pPr>
      <w:r>
        <w:t xml:space="preserve">A </w:t>
      </w:r>
      <w:r w:rsidRPr="007C613E">
        <w:t>helyi védelem</w:t>
      </w:r>
    </w:p>
    <w:p w:rsidR="00F05138" w:rsidRPr="002E0DFE" w:rsidRDefault="00F05138" w:rsidP="00F62479">
      <w:pPr>
        <w:pStyle w:val="Heading3"/>
      </w:pPr>
      <w:r w:rsidRPr="002E0DFE">
        <w:t xml:space="preserve">A </w:t>
      </w:r>
      <w:r w:rsidRPr="0040702A">
        <w:t>helyi</w:t>
      </w:r>
      <w:r w:rsidRPr="002E0DFE">
        <w:t xml:space="preserve"> </w:t>
      </w:r>
      <w:r w:rsidRPr="00F62479">
        <w:t>védelem</w:t>
      </w:r>
      <w:r w:rsidRPr="002E0DFE">
        <w:t xml:space="preserve"> célja</w:t>
      </w:r>
    </w:p>
    <w:p w:rsidR="00F05138" w:rsidRPr="007C613E" w:rsidRDefault="00F05138" w:rsidP="00EE3479">
      <w:pPr>
        <w:pStyle w:val="Heading5"/>
      </w:pPr>
      <w:r w:rsidRPr="007C613E">
        <w:t>§</w:t>
      </w:r>
    </w:p>
    <w:p w:rsidR="00F05138" w:rsidRDefault="00F05138" w:rsidP="00912B1D">
      <w:pPr>
        <w:rPr>
          <w:rFonts w:ascii="Cambria" w:hAnsi="Cambria" w:cs="Cambria"/>
        </w:rPr>
      </w:pPr>
    </w:p>
    <w:p w:rsidR="00F05138" w:rsidRPr="002720C8" w:rsidRDefault="00F05138" w:rsidP="002720C8">
      <w:pPr>
        <w:pStyle w:val="Heading2"/>
      </w:pPr>
      <w:r w:rsidRPr="002720C8">
        <w:t>Az épített környezet fenntartása, a jelen és a jövő nemzedékek számára való megőrzése érdekében az önkormányzat a közigazgatási területén található kiemelkedő építészeti, képzőművészeti és természeti értékeket helyi védelem alá helyezi.</w:t>
      </w:r>
    </w:p>
    <w:p w:rsidR="00F05138" w:rsidRPr="002720C8" w:rsidRDefault="00F05138" w:rsidP="002720C8">
      <w:pPr>
        <w:pStyle w:val="Heading2"/>
      </w:pPr>
      <w:r w:rsidRPr="002720C8">
        <w:t xml:space="preserve">A helyi értékvédelem feladata a különleges oltalmat igénylő településszerkezeti, város- és utcaképi, </w:t>
      </w:r>
      <w:r>
        <w:t>építészeti, történeti,</w:t>
      </w:r>
      <w:r w:rsidRPr="002720C8">
        <w:t xml:space="preserve"> képző- és iparművészeti, műszaki-ipartörténeti szempontból védelemre érdemes területek, épület-együttesek, építmények, </w:t>
      </w:r>
      <w:r>
        <w:t>épületrészek, köz- és műtárgyak</w:t>
      </w:r>
      <w:r w:rsidRPr="002720C8">
        <w:t xml:space="preserve"> számbavétele, meghatározása, nyilvántartása, dokumentálása, valamint a nyilvánossággal történő megismertetése.</w:t>
      </w:r>
    </w:p>
    <w:p w:rsidR="00F05138" w:rsidRDefault="00F05138" w:rsidP="00912B1D">
      <w:pPr>
        <w:rPr>
          <w:rFonts w:ascii="Cambria" w:hAnsi="Cambria" w:cs="Cambria"/>
        </w:rPr>
      </w:pPr>
    </w:p>
    <w:p w:rsidR="00F05138" w:rsidRPr="002E0DFE" w:rsidRDefault="00F05138" w:rsidP="00F62479">
      <w:pPr>
        <w:pStyle w:val="Heading3"/>
      </w:pPr>
      <w:r w:rsidRPr="002E0DFE">
        <w:t>A helyi védelem fajtái</w:t>
      </w:r>
    </w:p>
    <w:p w:rsidR="00F05138" w:rsidRPr="007C613E" w:rsidRDefault="00F05138" w:rsidP="00EE3479">
      <w:pPr>
        <w:pStyle w:val="Heading5"/>
      </w:pPr>
      <w:r w:rsidRPr="007C613E">
        <w:t>§</w:t>
      </w:r>
    </w:p>
    <w:p w:rsidR="00F05138" w:rsidRDefault="00F05138" w:rsidP="00912B1D"/>
    <w:p w:rsidR="00F05138" w:rsidRPr="002720C8" w:rsidRDefault="00F05138" w:rsidP="0008716C">
      <w:pPr>
        <w:pStyle w:val="Heading2"/>
        <w:numPr>
          <w:ilvl w:val="0"/>
          <w:numId w:val="0"/>
        </w:numPr>
        <w:ind w:left="397" w:hanging="397"/>
      </w:pPr>
      <w:r>
        <w:t xml:space="preserve">(1) </w:t>
      </w:r>
      <w:r w:rsidRPr="002720C8">
        <w:t>A</w:t>
      </w:r>
      <w:r>
        <w:t xml:space="preserve"> helyi védelem területi vagy egyedi védelem lehet</w:t>
      </w:r>
    </w:p>
    <w:p w:rsidR="00F05138" w:rsidRDefault="00F05138" w:rsidP="0008716C">
      <w:pPr>
        <w:pStyle w:val="Heading2"/>
        <w:numPr>
          <w:ilvl w:val="0"/>
          <w:numId w:val="0"/>
        </w:numPr>
        <w:ind w:left="397" w:hanging="397"/>
      </w:pPr>
      <w:r>
        <w:t xml:space="preserve">(2) A helyi területi védelem a helyi kialakult, meghatározó, értékes településképet és egyes településrészt meghatározó valamely </w:t>
      </w:r>
    </w:p>
    <w:p w:rsidR="00F05138" w:rsidRDefault="00F05138" w:rsidP="006C07A2">
      <w:r>
        <w:t>a) közterületekkel határolt településszerkezetre</w:t>
      </w:r>
    </w:p>
    <w:p w:rsidR="00F05138" w:rsidRDefault="00F05138" w:rsidP="006C07A2">
      <w:r>
        <w:t>b) utcaképre</w:t>
      </w:r>
    </w:p>
    <w:p w:rsidR="00F05138" w:rsidRDefault="00F05138" w:rsidP="006C07A2">
      <w:r>
        <w:t>c) közterületekkel határolt településrészre</w:t>
      </w:r>
    </w:p>
    <w:p w:rsidR="00F05138" w:rsidRDefault="00F05138" w:rsidP="006C07A2">
      <w:r>
        <w:t>d) település és tájkarakter elemekre terjed ki.</w:t>
      </w:r>
    </w:p>
    <w:p w:rsidR="00F05138" w:rsidRDefault="00F05138" w:rsidP="006C07A2">
      <w:r>
        <w:t>(3) Az önkormányzat helyi területi védelmet e rendeletben nem rendel el.</w:t>
      </w:r>
    </w:p>
    <w:p w:rsidR="00F05138" w:rsidRDefault="00F05138" w:rsidP="006C07A2">
      <w:r>
        <w:t>(4) A helyi egyedi védelem a jellegzetes, értékes, illetve hagyományt őrző építészeti arculatot, településkaraktert meghatározó valamely</w:t>
      </w:r>
    </w:p>
    <w:p w:rsidR="00F05138" w:rsidRDefault="00F05138" w:rsidP="006C07A2">
      <w:r>
        <w:t>a) építményre, építményrészletre, vagy az alkalmazott anyaghasználatra, tömegformálásra, homlokzati kialakításra,</w:t>
      </w:r>
    </w:p>
    <w:p w:rsidR="00F05138" w:rsidRDefault="00F05138" w:rsidP="006C07A2">
      <w:r>
        <w:t>b) szoborra, képzőművészeti alkotásra, utcabútorra</w:t>
      </w:r>
    </w:p>
    <w:p w:rsidR="00F05138" w:rsidRDefault="00F05138" w:rsidP="006C07A2">
      <w:r>
        <w:t>c) valamint az a) és b) pontokhoz kapcsolódóan az érintett földrészlet, telek egészére vagy részére terjedhet ki.</w:t>
      </w:r>
    </w:p>
    <w:p w:rsidR="00F05138" w:rsidRPr="006C07A2" w:rsidRDefault="00F05138" w:rsidP="006C07A2">
      <w:r>
        <w:t>(5) Az önkormányzat egyedi védelmet e rendeletben nem rendel el.</w:t>
      </w:r>
    </w:p>
    <w:p w:rsidR="00F05138" w:rsidRPr="006B4F67" w:rsidRDefault="00F05138" w:rsidP="00F62479">
      <w:pPr>
        <w:pStyle w:val="Heading3"/>
        <w:numPr>
          <w:ilvl w:val="0"/>
          <w:numId w:val="0"/>
        </w:numPr>
        <w:ind w:left="720"/>
      </w:pPr>
      <w:r w:rsidRPr="006B4F67">
        <w:t>5. A helyi védelem alá helyezés, valamint megszüntetés szabályai</w:t>
      </w:r>
    </w:p>
    <w:p w:rsidR="00F05138" w:rsidRDefault="00F05138" w:rsidP="00FE530D">
      <w:pPr>
        <w:pStyle w:val="Heading5"/>
      </w:pPr>
      <w:r w:rsidRPr="006B4F67">
        <w:t>§</w:t>
      </w:r>
    </w:p>
    <w:p w:rsidR="00F05138" w:rsidRDefault="00F05138" w:rsidP="00F356B1"/>
    <w:p w:rsidR="00F05138" w:rsidRPr="002720C8" w:rsidRDefault="00F05138" w:rsidP="00D36666">
      <w:pPr>
        <w:pStyle w:val="Heading2"/>
        <w:numPr>
          <w:ilvl w:val="0"/>
          <w:numId w:val="15"/>
        </w:numPr>
        <w:ind w:left="426" w:hanging="426"/>
      </w:pPr>
      <w:r w:rsidRPr="002720C8">
        <w:t>A helyi védettség alá helyezésről, annak megszűnéséről a Képviselő-testület</w:t>
      </w:r>
      <w:r>
        <w:t xml:space="preserve"> a településképi rendelet elkészítésére, módosítására, egyeztetésére és elfogadására vonatkozó a 314/2012. (XI.8.) Korm. rendeletben meghatározott előírások betartásával </w:t>
      </w:r>
      <w:r w:rsidRPr="002720C8">
        <w:t xml:space="preserve"> dönt.</w:t>
      </w:r>
    </w:p>
    <w:p w:rsidR="00F05138" w:rsidRPr="002720C8" w:rsidRDefault="00F05138" w:rsidP="002720C8">
      <w:pPr>
        <w:pStyle w:val="Heading2"/>
      </w:pPr>
      <w:r w:rsidRPr="002720C8">
        <w:t xml:space="preserve">A </w:t>
      </w:r>
      <w:r>
        <w:t xml:space="preserve">Képviselő – testület a védetté nyilvánításról, megszüntetésről szóló döntését </w:t>
      </w:r>
      <w:r w:rsidRPr="002720C8">
        <w:t>a települési főépíté</w:t>
      </w:r>
      <w:r>
        <w:t>sz véleményének figyelembevételével hozza meg</w:t>
      </w:r>
      <w:r w:rsidRPr="002720C8">
        <w:t>.</w:t>
      </w:r>
    </w:p>
    <w:p w:rsidR="00F05138" w:rsidRPr="002720C8" w:rsidRDefault="00F05138" w:rsidP="002720C8">
      <w:pPr>
        <w:pStyle w:val="Heading2"/>
      </w:pPr>
      <w:r w:rsidRPr="002720C8">
        <w:t xml:space="preserve">Helyi érték védetté nyilvánítására vagy a védelem törlésére bármely jogi vagy természetes személy, településrendezési terv keretében vagy önállóan készített örökségvédelmi hatástanulmány és </w:t>
      </w:r>
      <w:r>
        <w:t xml:space="preserve">a 314/2012. (XI.8.) Korm. rendelet 23/B. § alapján </w:t>
      </w:r>
      <w:r w:rsidRPr="002720C8">
        <w:t>önállóan készített értékvizsgálat is javaslatot tehet, melyet a jegyzőnél kell benyújtani. A javaslatnak az alábbiakat kell tartalmaznia:</w:t>
      </w:r>
    </w:p>
    <w:p w:rsidR="00F05138" w:rsidRPr="002720C8" w:rsidRDefault="00F05138" w:rsidP="00D36666">
      <w:pPr>
        <w:pStyle w:val="Heading6"/>
        <w:numPr>
          <w:ilvl w:val="0"/>
          <w:numId w:val="16"/>
        </w:numPr>
      </w:pPr>
      <w:r w:rsidRPr="002720C8">
        <w:t>a javasolt vagy érintett érték megnevezése,</w:t>
      </w:r>
    </w:p>
    <w:p w:rsidR="00F05138" w:rsidRPr="002720C8" w:rsidRDefault="00F05138" w:rsidP="002720C8">
      <w:pPr>
        <w:pStyle w:val="Heading6"/>
      </w:pPr>
      <w:r w:rsidRPr="002720C8">
        <w:t>a javasolt vagy érintett érték helyének meghatározása (utca, házszám, helyrajzi szám), egyértelműsítés érdekében szükség esetén helyszínrajzi ábrázolással,</w:t>
      </w:r>
    </w:p>
    <w:p w:rsidR="00F05138" w:rsidRPr="002720C8" w:rsidRDefault="00F05138" w:rsidP="002720C8">
      <w:pPr>
        <w:pStyle w:val="Heading6"/>
      </w:pPr>
      <w:r w:rsidRPr="002720C8">
        <w:t>a javaslattevő természetes vagy jogi személy, ez utóbbi esetén annak képviselőjének megnevezése, elérhetősége,</w:t>
      </w:r>
    </w:p>
    <w:p w:rsidR="00F05138" w:rsidRPr="002720C8" w:rsidRDefault="00F05138" w:rsidP="002720C8">
      <w:pPr>
        <w:pStyle w:val="Heading6"/>
      </w:pPr>
      <w:r w:rsidRPr="002720C8">
        <w:t>a javasolt vagy érintett érték fotódokumentációja, leírása, ismertetése,</w:t>
      </w:r>
    </w:p>
    <w:p w:rsidR="00F05138" w:rsidRPr="002720C8" w:rsidRDefault="00F05138" w:rsidP="002720C8">
      <w:pPr>
        <w:pStyle w:val="Heading6"/>
      </w:pPr>
      <w:r w:rsidRPr="002720C8">
        <w:t>a védelem fajtája,</w:t>
      </w:r>
    </w:p>
    <w:p w:rsidR="00F05138" w:rsidRPr="002720C8" w:rsidRDefault="00F05138" w:rsidP="002720C8">
      <w:pPr>
        <w:pStyle w:val="Heading6"/>
      </w:pPr>
      <w:r w:rsidRPr="002720C8">
        <w:t>a védetté nyilvánításra vagy a védelem megszüntetésére vonatkozó javaslat indoklása.</w:t>
      </w:r>
    </w:p>
    <w:p w:rsidR="00F05138" w:rsidRPr="002720C8" w:rsidRDefault="00F05138" w:rsidP="002720C8">
      <w:pPr>
        <w:pStyle w:val="Heading2"/>
      </w:pPr>
      <w:r w:rsidRPr="002720C8">
        <w:t>A védetté nyilvánított helyi értékek nyilvántartása tartalmazza a</w:t>
      </w:r>
      <w:r>
        <w:t xml:space="preserve"> 314/2012. (XI.8.) Korm. rendelet 23/D. § a) – d) pontjain túl tartalmazza a</w:t>
      </w:r>
      <w:r w:rsidRPr="002720C8">
        <w:t xml:space="preserve"> védetté nyilvánított helyi érték</w:t>
      </w:r>
    </w:p>
    <w:p w:rsidR="00F05138" w:rsidRPr="002720C8" w:rsidRDefault="00F05138" w:rsidP="00D36666">
      <w:pPr>
        <w:pStyle w:val="Heading6"/>
        <w:numPr>
          <w:ilvl w:val="0"/>
          <w:numId w:val="17"/>
        </w:numPr>
      </w:pPr>
      <w:r w:rsidRPr="002720C8">
        <w:t>megnevezését</w:t>
      </w:r>
    </w:p>
    <w:p w:rsidR="00F05138" w:rsidRPr="002720C8" w:rsidRDefault="00F05138" w:rsidP="002720C8">
      <w:pPr>
        <w:pStyle w:val="Heading6"/>
      </w:pPr>
      <w:r w:rsidRPr="002720C8">
        <w:t>pontos helyét (utcanév, házszám, helyrajzi szám)</w:t>
      </w:r>
    </w:p>
    <w:p w:rsidR="00F05138" w:rsidRPr="002720C8" w:rsidRDefault="00F05138" w:rsidP="002720C8">
      <w:pPr>
        <w:pStyle w:val="Heading6"/>
      </w:pPr>
      <w:r w:rsidRPr="002720C8">
        <w:t>állapotát befolyásoló átalakításokat, tevékenységeket történeti sorrendben,</w:t>
      </w:r>
    </w:p>
    <w:p w:rsidR="00F05138" w:rsidRDefault="00F05138" w:rsidP="002720C8">
      <w:pPr>
        <w:pStyle w:val="Heading6"/>
      </w:pPr>
      <w:r w:rsidRPr="002720C8">
        <w:t>fotókat.</w:t>
      </w:r>
    </w:p>
    <w:p w:rsidR="00F05138" w:rsidRPr="00407029" w:rsidRDefault="00F05138" w:rsidP="00407029">
      <w:pPr>
        <w:pStyle w:val="Heading6"/>
      </w:pPr>
      <w:r>
        <w:t>az érték a védetté nyilvánításkor fennálló állapotrögzítő dokumentációját</w:t>
      </w:r>
    </w:p>
    <w:p w:rsidR="00F05138" w:rsidRPr="002720C8" w:rsidRDefault="00F05138" w:rsidP="002720C8"/>
    <w:p w:rsidR="00F05138" w:rsidRPr="002720C8" w:rsidRDefault="00F05138" w:rsidP="002720C8"/>
    <w:p w:rsidR="00F05138" w:rsidRPr="002720C8" w:rsidRDefault="00F05138" w:rsidP="002720C8">
      <w:pPr>
        <w:pStyle w:val="Heading2"/>
      </w:pPr>
      <w:r w:rsidRPr="002720C8">
        <w:t>A védetté nyilvánított helyi értéket</w:t>
      </w:r>
      <w:r w:rsidRPr="002720C8">
        <w:rPr>
          <w:lang w:eastAsia="en-US"/>
        </w:rPr>
        <w:t xml:space="preserve"> </w:t>
      </w:r>
      <w:r w:rsidRPr="002720C8">
        <w:t>táblával meg kell jelölni. A tábla elhelyezéséről az önkormányzat a jegyző útján gondoskodik, azt a tulajdonos és a használó tűrni köteles.</w:t>
      </w:r>
    </w:p>
    <w:p w:rsidR="00F05138" w:rsidRPr="002720C8" w:rsidRDefault="00F05138" w:rsidP="002720C8">
      <w:pPr>
        <w:pStyle w:val="Heading2"/>
      </w:pPr>
      <w:r w:rsidRPr="002720C8">
        <w:t>A védettség megszüntetésére akkor kerülhet sor, ha a védetté nyilvánított helyi érték</w:t>
      </w:r>
    </w:p>
    <w:p w:rsidR="00F05138" w:rsidRPr="002720C8" w:rsidRDefault="00F05138" w:rsidP="00D36666">
      <w:pPr>
        <w:pStyle w:val="Heading6"/>
        <w:numPr>
          <w:ilvl w:val="0"/>
          <w:numId w:val="18"/>
        </w:numPr>
      </w:pPr>
      <w:r w:rsidRPr="002720C8">
        <w:t>megsemmisül,</w:t>
      </w:r>
    </w:p>
    <w:p w:rsidR="00F05138" w:rsidRPr="002720C8" w:rsidRDefault="00F05138" w:rsidP="002720C8">
      <w:pPr>
        <w:pStyle w:val="Heading6"/>
      </w:pPr>
      <w:r w:rsidRPr="002720C8">
        <w:t>a védelem alapját képező értékeit helyreállíthatatlanul elvesztek, vagy a védelemmel összefüggő szakmai ismérveknek már nem felel meg,</w:t>
      </w:r>
    </w:p>
    <w:p w:rsidR="00F05138" w:rsidRPr="002720C8" w:rsidRDefault="00F05138" w:rsidP="002720C8">
      <w:pPr>
        <w:pStyle w:val="Heading2"/>
      </w:pPr>
      <w:r w:rsidRPr="002720C8">
        <w:t>A védettség megszüntetésére irányuló kérelem melléklete az állapotrögzítő dokumentáció, amely tartalmazza:</w:t>
      </w:r>
    </w:p>
    <w:p w:rsidR="00F05138" w:rsidRPr="002720C8" w:rsidRDefault="00F05138" w:rsidP="00D36666">
      <w:pPr>
        <w:pStyle w:val="Heading6"/>
        <w:numPr>
          <w:ilvl w:val="0"/>
          <w:numId w:val="19"/>
        </w:numPr>
      </w:pPr>
      <w:r w:rsidRPr="002720C8">
        <w:t>az érintett elem helyszínrajzát,</w:t>
      </w:r>
    </w:p>
    <w:p w:rsidR="00F05138" w:rsidRPr="002720C8" w:rsidRDefault="00F05138" w:rsidP="002720C8">
      <w:pPr>
        <w:pStyle w:val="Heading6"/>
      </w:pPr>
      <w:r w:rsidRPr="002720C8">
        <w:t>épület, vagy építmény esetén a felmérési tervet (alaprajz minden szintről, metszetek, homlokzatok, mű</w:t>
      </w:r>
      <w:r>
        <w:t>szaki leírás)</w:t>
      </w:r>
    </w:p>
    <w:p w:rsidR="00F05138" w:rsidRPr="002720C8" w:rsidRDefault="00F05138" w:rsidP="002720C8">
      <w:pPr>
        <w:pStyle w:val="Heading6"/>
      </w:pPr>
      <w:r w:rsidRPr="002720C8">
        <w:t>fotódokumentációt,</w:t>
      </w:r>
    </w:p>
    <w:p w:rsidR="00F05138" w:rsidRPr="002720C8" w:rsidRDefault="00F05138" w:rsidP="002720C8">
      <w:pPr>
        <w:pStyle w:val="Heading2"/>
      </w:pPr>
      <w:r w:rsidRPr="002720C8">
        <w:t>A védettség megszüntetésére irányuló eljárásban a védetté nyilvánításra vonatkozó rendelkezéseket kell megfelelően alkalmazni.</w:t>
      </w:r>
    </w:p>
    <w:p w:rsidR="00F05138" w:rsidRDefault="00F05138" w:rsidP="00F356B1"/>
    <w:p w:rsidR="00F05138" w:rsidRPr="006755D3" w:rsidRDefault="00F05138" w:rsidP="00F62479">
      <w:pPr>
        <w:pStyle w:val="Heading3"/>
        <w:numPr>
          <w:ilvl w:val="0"/>
          <w:numId w:val="11"/>
        </w:numPr>
      </w:pPr>
      <w:r w:rsidRPr="00F61922">
        <w:t xml:space="preserve">A helyi védett érték </w:t>
      </w:r>
      <w:r>
        <w:t>fenntartása</w:t>
      </w:r>
    </w:p>
    <w:p w:rsidR="00F05138" w:rsidRDefault="00F05138" w:rsidP="00EE3479">
      <w:pPr>
        <w:pStyle w:val="Heading5"/>
      </w:pPr>
      <w:r w:rsidRPr="001D4CDE">
        <w:t>§</w:t>
      </w:r>
    </w:p>
    <w:p w:rsidR="00F05138" w:rsidRDefault="00F05138" w:rsidP="00FE530D">
      <w:pPr>
        <w:pStyle w:val="ListParagraph"/>
        <w:ind w:left="0"/>
        <w:jc w:val="center"/>
        <w:rPr>
          <w:rFonts w:cs="Times New Roman"/>
          <w:b/>
          <w:bCs/>
        </w:rPr>
      </w:pPr>
    </w:p>
    <w:p w:rsidR="00F05138" w:rsidRPr="002720C8" w:rsidRDefault="00F05138" w:rsidP="00D36666">
      <w:pPr>
        <w:pStyle w:val="Heading2"/>
        <w:numPr>
          <w:ilvl w:val="0"/>
          <w:numId w:val="20"/>
        </w:numPr>
        <w:ind w:left="426" w:hanging="426"/>
      </w:pPr>
      <w:r w:rsidRPr="002720C8">
        <w:t>A védetté nyilvánított helyi érték fenntartása a tulajdonos feladata, ő köteles az érték jó karbantartásáról gondoskodni. Felújítás, korszerűsítés esetén a jelen rendeletben foglalt részletes előírásokat be kell tartani.</w:t>
      </w:r>
    </w:p>
    <w:p w:rsidR="00F05138" w:rsidRPr="002720C8" w:rsidRDefault="00F05138" w:rsidP="002720C8">
      <w:pPr>
        <w:pStyle w:val="Heading2"/>
      </w:pPr>
      <w:r>
        <w:t>A fennmaradáshoz előtérbe kell helyezni</w:t>
      </w:r>
      <w:r w:rsidRPr="002720C8">
        <w:t xml:space="preserve"> az eredeti rendeltetésnek megfelelő használat</w:t>
      </w:r>
      <w:r>
        <w:t xml:space="preserve">ot. </w:t>
      </w:r>
      <w:r w:rsidRPr="002720C8">
        <w:t>A használat a védett értéket nem veszélyeztetheti.</w:t>
      </w:r>
    </w:p>
    <w:p w:rsidR="00F05138" w:rsidRPr="002720C8" w:rsidRDefault="00F05138" w:rsidP="002720C8">
      <w:pPr>
        <w:pStyle w:val="Heading2"/>
      </w:pPr>
      <w:r w:rsidRPr="002720C8">
        <w:t>A helyi védett érték tulajdonosa a tulajdonviszonyokban, a kezelőben és a használóban történt változásokat a jegyzőnek a változástól számított 30 napon belül köteles írásban jelezni. Ennek elmaradása esetén a védett értékre önkormányzati támogatási rendszer</w:t>
      </w:r>
      <w:r>
        <w:t xml:space="preserve"> </w:t>
      </w:r>
      <w:r w:rsidRPr="002720C8">
        <w:t>bevezetése esetén önkormányzati támogatás nem adható.</w:t>
      </w:r>
    </w:p>
    <w:p w:rsidR="00F05138" w:rsidRDefault="00F05138" w:rsidP="001E0E6C"/>
    <w:p w:rsidR="00F05138" w:rsidRDefault="00F05138" w:rsidP="001E0E6C">
      <w:pPr>
        <w:pStyle w:val="Rmaiszmoscm"/>
      </w:pPr>
      <w:r>
        <w:t>Fejezet</w:t>
      </w:r>
    </w:p>
    <w:p w:rsidR="00F05138" w:rsidRDefault="00F05138" w:rsidP="00274BE2">
      <w:pPr>
        <w:pStyle w:val="Subtitle"/>
      </w:pPr>
      <w:r w:rsidRPr="007C613E">
        <w:t>A településképi szempontból meghatározó területek</w:t>
      </w:r>
    </w:p>
    <w:p w:rsidR="00F05138" w:rsidRPr="002720C8" w:rsidRDefault="00F05138" w:rsidP="00D36666">
      <w:pPr>
        <w:pStyle w:val="Heading3"/>
        <w:numPr>
          <w:ilvl w:val="0"/>
          <w:numId w:val="21"/>
        </w:numPr>
      </w:pPr>
      <w:r w:rsidRPr="002720C8">
        <w:t>A településképi szempontból meghatározó területek megállapításának célja</w:t>
      </w:r>
    </w:p>
    <w:p w:rsidR="00F05138" w:rsidRPr="002720C8" w:rsidRDefault="00F05138" w:rsidP="002720C8">
      <w:pPr>
        <w:pStyle w:val="Heading5"/>
      </w:pPr>
      <w:r w:rsidRPr="002720C8">
        <w:t>§</w:t>
      </w:r>
    </w:p>
    <w:p w:rsidR="00F05138" w:rsidRDefault="00F05138" w:rsidP="00F356B1">
      <w:pPr>
        <w:spacing w:before="0" w:after="0"/>
        <w:ind w:left="567"/>
        <w:rPr>
          <w:rFonts w:ascii="Cambria" w:hAnsi="Cambria" w:cs="Cambria"/>
          <w:color w:val="000000"/>
        </w:rPr>
      </w:pPr>
    </w:p>
    <w:p w:rsidR="00F05138" w:rsidRDefault="00F05138" w:rsidP="002720C8">
      <w:r w:rsidRPr="002720C8">
        <w:t>A településképhez illeszkedő településképi követelmények megállapításával a jellegzetes, értékes, helyi hagyományt őrző építészeti arculat megőrzése, a településkép kedvező alakítása.</w:t>
      </w:r>
    </w:p>
    <w:p w:rsidR="00F05138" w:rsidRDefault="00F05138" w:rsidP="002720C8"/>
    <w:p w:rsidR="00F05138" w:rsidRDefault="00F05138" w:rsidP="002720C8">
      <w:pPr>
        <w:numPr>
          <w:ilvl w:val="0"/>
          <w:numId w:val="2"/>
        </w:numPr>
        <w:spacing w:before="240" w:after="240"/>
        <w:ind w:left="357" w:hanging="357"/>
        <w:jc w:val="center"/>
        <w:outlineLvl w:val="2"/>
        <w:rPr>
          <w:b/>
          <w:bCs/>
          <w:i/>
          <w:iCs/>
          <w:color w:val="000000"/>
          <w:spacing w:val="-10"/>
          <w:kern w:val="28"/>
          <w:sz w:val="28"/>
          <w:szCs w:val="28"/>
        </w:rPr>
      </w:pPr>
      <w:r w:rsidRPr="002720C8">
        <w:rPr>
          <w:b/>
          <w:bCs/>
          <w:i/>
          <w:iCs/>
          <w:color w:val="000000"/>
          <w:spacing w:val="-10"/>
          <w:kern w:val="28"/>
          <w:sz w:val="28"/>
          <w:szCs w:val="28"/>
        </w:rPr>
        <w:t>A településszerkezet, településkarakter, tájképi elem és egyéb helyi adottság alapján a településképi szempontból meghatározó területek lehatárolása</w:t>
      </w:r>
    </w:p>
    <w:p w:rsidR="00F05138" w:rsidRPr="002720C8" w:rsidRDefault="00F05138" w:rsidP="0020091E">
      <w:pPr>
        <w:spacing w:before="240" w:after="240"/>
        <w:ind w:left="357"/>
        <w:outlineLvl w:val="2"/>
        <w:rPr>
          <w:b/>
          <w:bCs/>
          <w:i/>
          <w:iCs/>
          <w:color w:val="000000"/>
          <w:spacing w:val="-10"/>
          <w:kern w:val="28"/>
          <w:sz w:val="28"/>
          <w:szCs w:val="28"/>
        </w:rPr>
      </w:pPr>
    </w:p>
    <w:p w:rsidR="00F05138" w:rsidRPr="002720C8" w:rsidRDefault="00F05138" w:rsidP="002720C8">
      <w:pPr>
        <w:keepNext/>
        <w:keepLines/>
        <w:numPr>
          <w:ilvl w:val="0"/>
          <w:numId w:val="5"/>
        </w:numPr>
        <w:spacing w:before="40" w:after="0"/>
        <w:jc w:val="center"/>
        <w:outlineLvl w:val="4"/>
        <w:rPr>
          <w:b/>
          <w:bCs/>
          <w:sz w:val="28"/>
          <w:szCs w:val="28"/>
        </w:rPr>
      </w:pPr>
      <w:r w:rsidRPr="002720C8">
        <w:rPr>
          <w:b/>
          <w:bCs/>
          <w:sz w:val="28"/>
          <w:szCs w:val="28"/>
        </w:rPr>
        <w:t>§</w:t>
      </w:r>
    </w:p>
    <w:p w:rsidR="00F05138" w:rsidRDefault="00F05138" w:rsidP="002720C8"/>
    <w:p w:rsidR="00F05138" w:rsidRPr="002720C8" w:rsidRDefault="00F05138" w:rsidP="00D36666">
      <w:pPr>
        <w:pStyle w:val="Heading2"/>
        <w:numPr>
          <w:ilvl w:val="0"/>
          <w:numId w:val="22"/>
        </w:numPr>
        <w:ind w:left="426" w:hanging="426"/>
      </w:pPr>
      <w:r w:rsidRPr="002720C8">
        <w:t>A településszerkezet, településkarakter, tájképi elem és egyéb helyi adottság alapján a településképi szempontból meghatározó területek térképi lehatárolását a belterületre vonatkozóan e rendelet 1. melléklete tartalmazza, külterületen a kihirdetett magasabb szintű jogszabályok tartalmazzák.</w:t>
      </w:r>
    </w:p>
    <w:p w:rsidR="00F05138" w:rsidRPr="002720C8" w:rsidRDefault="00F05138" w:rsidP="002720C8">
      <w:pPr>
        <w:pStyle w:val="Heading2"/>
      </w:pPr>
      <w:r w:rsidRPr="002720C8">
        <w:t>Településképi szempontból meghatározó terület:</w:t>
      </w:r>
    </w:p>
    <w:p w:rsidR="00F05138" w:rsidRPr="002720C8" w:rsidRDefault="00F05138" w:rsidP="00D36666">
      <w:pPr>
        <w:pStyle w:val="Heading6"/>
        <w:numPr>
          <w:ilvl w:val="0"/>
          <w:numId w:val="23"/>
        </w:numPr>
      </w:pPr>
      <w:r w:rsidRPr="002720C8">
        <w:t>belterületen:</w:t>
      </w:r>
    </w:p>
    <w:p w:rsidR="00F05138" w:rsidRDefault="00F05138" w:rsidP="006359C4">
      <w:pPr>
        <w:pStyle w:val="Heading7"/>
      </w:pPr>
      <w:r>
        <w:t>Településközpont karakter</w:t>
      </w:r>
    </w:p>
    <w:p w:rsidR="00F05138" w:rsidRPr="00863EAC" w:rsidRDefault="00F05138" w:rsidP="006359C4">
      <w:pPr>
        <w:pStyle w:val="Heading7"/>
      </w:pPr>
      <w:r>
        <w:t>Lakó karakter</w:t>
      </w:r>
    </w:p>
    <w:p w:rsidR="00F05138" w:rsidRPr="00F356B1" w:rsidRDefault="00F05138" w:rsidP="00F356B1">
      <w:pPr>
        <w:spacing w:before="0" w:after="0"/>
        <w:ind w:left="567"/>
        <w:rPr>
          <w:rFonts w:ascii="Cambria" w:hAnsi="Cambria" w:cs="Cambria"/>
          <w:color w:val="000000"/>
        </w:rPr>
      </w:pPr>
    </w:p>
    <w:p w:rsidR="00F05138" w:rsidRDefault="00F05138" w:rsidP="00A0023F">
      <w:pPr>
        <w:pStyle w:val="Rmaiszmoscm"/>
      </w:pPr>
      <w:r>
        <w:t xml:space="preserve">Fejezet </w:t>
      </w:r>
    </w:p>
    <w:p w:rsidR="00F05138" w:rsidRPr="00274BE2" w:rsidRDefault="00F05138" w:rsidP="0020091E">
      <w:pPr>
        <w:pStyle w:val="Subtitle"/>
      </w:pPr>
      <w:r>
        <w:t>A</w:t>
      </w:r>
      <w:r w:rsidRPr="007C613E">
        <w:t xml:space="preserve"> településképi követelmények </w:t>
      </w:r>
      <w:r w:rsidRPr="0020091E">
        <w:t>meghatározása</w:t>
      </w:r>
    </w:p>
    <w:p w:rsidR="00F05138" w:rsidRPr="00133F0C" w:rsidRDefault="00F05138" w:rsidP="0020091E">
      <w:pPr>
        <w:pStyle w:val="Heading3"/>
      </w:pPr>
      <w:r w:rsidRPr="00133F0C">
        <w:t>Településképi szempontból meghatározó területekre vonatkozó területi és egyedi építészeti követelmények</w:t>
      </w:r>
    </w:p>
    <w:p w:rsidR="00F05138" w:rsidRPr="00133F0C" w:rsidRDefault="00F05138" w:rsidP="0020091E">
      <w:pPr>
        <w:pStyle w:val="Heading5"/>
        <w:ind w:left="720" w:hanging="360"/>
      </w:pPr>
      <w:r>
        <w:t xml:space="preserve"> </w:t>
      </w:r>
      <w:r w:rsidRPr="00133F0C">
        <w:t>§</w:t>
      </w:r>
    </w:p>
    <w:p w:rsidR="00F05138" w:rsidRPr="00133F0C" w:rsidRDefault="00F05138" w:rsidP="0020091E"/>
    <w:p w:rsidR="00F05138" w:rsidRPr="0020091E" w:rsidRDefault="00F05138" w:rsidP="00D36666">
      <w:pPr>
        <w:pStyle w:val="Heading2"/>
        <w:numPr>
          <w:ilvl w:val="0"/>
          <w:numId w:val="24"/>
        </w:numPr>
        <w:ind w:left="426" w:hanging="426"/>
      </w:pPr>
      <w:r>
        <w:t>Új l</w:t>
      </w:r>
      <w:r w:rsidRPr="0020091E">
        <w:t>akó és középületek külső homlokzati felületképzésénél</w:t>
      </w:r>
      <w:r>
        <w:t xml:space="preserve"> csak pasztell </w:t>
      </w:r>
      <w:r w:rsidRPr="0020091E">
        <w:t xml:space="preserve">színek alkalmazhatók. </w:t>
      </w:r>
    </w:p>
    <w:p w:rsidR="00F05138" w:rsidRDefault="00F05138" w:rsidP="0020091E">
      <w:pPr>
        <w:pStyle w:val="Heading2"/>
      </w:pPr>
      <w:r>
        <w:t>Új l</w:t>
      </w:r>
      <w:r w:rsidRPr="0020091E">
        <w:t>akóépületeken csak magastető alkalmazása megengedett, a tetőfedés színe a földszínek valamelyike lehet.</w:t>
      </w:r>
    </w:p>
    <w:p w:rsidR="00F05138" w:rsidRPr="0020091E" w:rsidRDefault="00F05138" w:rsidP="0020091E">
      <w:pPr>
        <w:pStyle w:val="Heading2"/>
      </w:pPr>
      <w:r w:rsidRPr="0020091E">
        <w:t>Könnyűszerkezetes (fém, fa stb.) épület csak abban az esetben építhető, ha külső homlokzati megjelenése megegyezik a szomszédos épületekével.</w:t>
      </w:r>
    </w:p>
    <w:p w:rsidR="00F05138" w:rsidRPr="0020091E" w:rsidRDefault="00F05138" w:rsidP="0020091E">
      <w:pPr>
        <w:pStyle w:val="Heading3"/>
      </w:pPr>
      <w:r>
        <w:t>Egyéb</w:t>
      </w:r>
      <w:r w:rsidRPr="0020091E">
        <w:t xml:space="preserve"> t</w:t>
      </w:r>
      <w:r>
        <w:t xml:space="preserve">erületekre vonatkozó </w:t>
      </w:r>
      <w:r w:rsidRPr="0020091E">
        <w:t>egyedi építészeti követelmények</w:t>
      </w:r>
    </w:p>
    <w:p w:rsidR="00F05138" w:rsidRDefault="00F05138" w:rsidP="0020091E">
      <w:pPr>
        <w:pStyle w:val="Heading5"/>
        <w:ind w:left="720" w:hanging="360"/>
      </w:pPr>
      <w:r>
        <w:t xml:space="preserve"> </w:t>
      </w:r>
      <w:r w:rsidRPr="00133F0C">
        <w:t>§</w:t>
      </w:r>
    </w:p>
    <w:p w:rsidR="00F05138" w:rsidRDefault="00F05138" w:rsidP="0020091E"/>
    <w:p w:rsidR="00F05138" w:rsidRPr="0020091E" w:rsidRDefault="00F05138" w:rsidP="00D36666">
      <w:pPr>
        <w:pStyle w:val="Heading2"/>
        <w:numPr>
          <w:ilvl w:val="0"/>
          <w:numId w:val="25"/>
        </w:numPr>
        <w:ind w:left="426" w:hanging="426"/>
      </w:pPr>
      <w:r>
        <w:t>A település belterületén kék és zöld színű</w:t>
      </w:r>
      <w:r w:rsidRPr="0020091E">
        <w:t xml:space="preserve"> fémlemez, bitumenes hullámlemez tetőhéjazatként nem alkalmazható.</w:t>
      </w:r>
    </w:p>
    <w:p w:rsidR="00F05138" w:rsidRPr="0020091E" w:rsidRDefault="00F05138" w:rsidP="0020091E">
      <w:pPr>
        <w:pStyle w:val="Heading2"/>
      </w:pPr>
      <w:r w:rsidRPr="0020091E">
        <w:t>Mezőgazdasági területen elhelyezhető építmények kivitelezése során hullámpala sem oldalfalként, sem héjazatként nem alkalmazható.</w:t>
      </w:r>
    </w:p>
    <w:p w:rsidR="00F05138" w:rsidRDefault="00F05138" w:rsidP="00B914D4">
      <w:pPr>
        <w:pStyle w:val="Heading2"/>
        <w:numPr>
          <w:ilvl w:val="0"/>
          <w:numId w:val="0"/>
        </w:numPr>
        <w:ind w:left="397" w:hanging="397"/>
      </w:pPr>
    </w:p>
    <w:p w:rsidR="00F05138" w:rsidRPr="0020091E" w:rsidRDefault="00F05138" w:rsidP="0020091E">
      <w:pPr>
        <w:numPr>
          <w:ilvl w:val="0"/>
          <w:numId w:val="2"/>
        </w:numPr>
        <w:spacing w:before="240" w:after="240"/>
        <w:ind w:left="357" w:hanging="357"/>
        <w:jc w:val="center"/>
        <w:outlineLvl w:val="2"/>
        <w:rPr>
          <w:b/>
          <w:bCs/>
          <w:i/>
          <w:iCs/>
          <w:color w:val="000000"/>
          <w:spacing w:val="-10"/>
          <w:kern w:val="28"/>
          <w:sz w:val="28"/>
          <w:szCs w:val="28"/>
        </w:rPr>
      </w:pPr>
      <w:r w:rsidRPr="0020091E">
        <w:rPr>
          <w:b/>
          <w:bCs/>
          <w:i/>
          <w:iCs/>
          <w:color w:val="000000"/>
          <w:spacing w:val="-10"/>
          <w:kern w:val="28"/>
          <w:sz w:val="28"/>
          <w:szCs w:val="28"/>
        </w:rPr>
        <w:t>Egyes sajátos berendezések, műtárgyak elhelyezése</w:t>
      </w:r>
    </w:p>
    <w:p w:rsidR="00F05138" w:rsidRPr="0020091E" w:rsidRDefault="00F05138" w:rsidP="0020091E">
      <w:pPr>
        <w:keepNext/>
        <w:keepLines/>
        <w:numPr>
          <w:ilvl w:val="0"/>
          <w:numId w:val="5"/>
        </w:numPr>
        <w:spacing w:before="40" w:after="0"/>
        <w:jc w:val="center"/>
        <w:outlineLvl w:val="4"/>
        <w:rPr>
          <w:b/>
          <w:bCs/>
          <w:sz w:val="28"/>
          <w:szCs w:val="28"/>
        </w:rPr>
      </w:pPr>
      <w:r w:rsidRPr="0020091E">
        <w:rPr>
          <w:b/>
          <w:bCs/>
          <w:sz w:val="28"/>
          <w:szCs w:val="28"/>
        </w:rPr>
        <w:t xml:space="preserve"> §</w:t>
      </w:r>
    </w:p>
    <w:p w:rsidR="00F05138" w:rsidRDefault="00F05138" w:rsidP="0020091E"/>
    <w:p w:rsidR="00F05138" w:rsidRDefault="00F05138" w:rsidP="00D36666">
      <w:pPr>
        <w:pStyle w:val="Heading2"/>
        <w:numPr>
          <w:ilvl w:val="0"/>
          <w:numId w:val="26"/>
        </w:numPr>
        <w:ind w:left="426" w:hanging="426"/>
      </w:pPr>
      <w:r>
        <w:t>A teljes település ellátását biztosító felszíni energiaellátási és elektronikus hírközlési sajátos építmények, műtárgyak elhelyezésére elsősorban a külterületi nem védett területek alkalmasak.</w:t>
      </w:r>
    </w:p>
    <w:p w:rsidR="00F05138" w:rsidRPr="00407029" w:rsidRDefault="00F05138" w:rsidP="00407029">
      <w:pPr>
        <w:pStyle w:val="Heading2"/>
      </w:pPr>
      <w:r>
        <w:t>A teljes település ellátását biztosító felszíni energiaellátási és elektronikus hírközlési sajátos építmények, műtárgyak elhelyezésére nem alkalmas területek a védett területek.</w:t>
      </w:r>
    </w:p>
    <w:p w:rsidR="00F05138" w:rsidRPr="00407029" w:rsidRDefault="00F05138" w:rsidP="00950A55">
      <w:pPr>
        <w:pStyle w:val="Heading2"/>
      </w:pPr>
      <w:r w:rsidRPr="00950A55">
        <w:t>A felszíni energiaellátás nyomvonalas építményei elhelyezésére a település teljes igazgatási területe alkalmas.</w:t>
      </w:r>
    </w:p>
    <w:p w:rsidR="00F05138" w:rsidRPr="0020091E" w:rsidRDefault="00F05138" w:rsidP="00950A55">
      <w:pPr>
        <w:pStyle w:val="Heading2"/>
      </w:pPr>
      <w:r w:rsidRPr="0020091E">
        <w:t>A településkép szempontjából meghatározó területen a település ellátásához szükséges közmű műtárgyak (transzformátor, kapcsolószekrény, elosztószekrény, gáznyomás-szabályozó stb.) takartan, közterületen látványában kedvező megjelenéssel helyezendő el.</w:t>
      </w:r>
    </w:p>
    <w:p w:rsidR="00F05138" w:rsidRPr="0020091E" w:rsidRDefault="00F05138" w:rsidP="00950A55">
      <w:pPr>
        <w:pStyle w:val="Heading2"/>
      </w:pPr>
      <w:r w:rsidRPr="0020091E">
        <w:t xml:space="preserve">Természetvédelemmel érintett területeken </w:t>
      </w:r>
    </w:p>
    <w:p w:rsidR="00F05138" w:rsidRPr="0020091E" w:rsidRDefault="00F05138" w:rsidP="00BA5C9E">
      <w:pPr>
        <w:pStyle w:val="Heading6"/>
        <w:numPr>
          <w:ilvl w:val="0"/>
          <w:numId w:val="27"/>
        </w:numPr>
      </w:pPr>
      <w:r w:rsidRPr="0020091E">
        <w:t>amennyiben műszakilag lehetséges, az energiaellátást földkábellel kell biztosítani.</w:t>
      </w:r>
    </w:p>
    <w:p w:rsidR="00F05138" w:rsidRPr="0020091E" w:rsidRDefault="00F05138" w:rsidP="00950A55">
      <w:pPr>
        <w:pStyle w:val="Heading6"/>
      </w:pPr>
      <w:r w:rsidRPr="0020091E">
        <w:t>kültéri világítás csak biztonsági szempontok (élet- vagyonvédelem, stb.) esetén, teljesen ernyőzött, síkburás világító eszközzel lehetséges.</w:t>
      </w:r>
    </w:p>
    <w:p w:rsidR="00F05138" w:rsidRDefault="00F05138" w:rsidP="0020091E"/>
    <w:p w:rsidR="00F05138" w:rsidRDefault="00F05138" w:rsidP="00950A55">
      <w:pPr>
        <w:numPr>
          <w:ilvl w:val="0"/>
          <w:numId w:val="2"/>
        </w:numPr>
        <w:spacing w:before="240" w:after="240"/>
        <w:ind w:left="357" w:hanging="357"/>
        <w:jc w:val="center"/>
        <w:outlineLvl w:val="2"/>
        <w:rPr>
          <w:b/>
          <w:bCs/>
          <w:i/>
          <w:iCs/>
          <w:color w:val="000000"/>
          <w:spacing w:val="-10"/>
          <w:kern w:val="28"/>
          <w:sz w:val="28"/>
          <w:szCs w:val="28"/>
        </w:rPr>
      </w:pPr>
      <w:r w:rsidRPr="00950A55">
        <w:rPr>
          <w:b/>
          <w:bCs/>
          <w:i/>
          <w:iCs/>
          <w:color w:val="000000"/>
          <w:spacing w:val="-10"/>
          <w:kern w:val="28"/>
          <w:sz w:val="28"/>
          <w:szCs w:val="28"/>
        </w:rPr>
        <w:t>Reklámok, reklámhordozók</w:t>
      </w:r>
    </w:p>
    <w:p w:rsidR="00F05138" w:rsidRPr="00950A55" w:rsidRDefault="00F05138" w:rsidP="00950A55">
      <w:pPr>
        <w:spacing w:before="240" w:after="240"/>
        <w:ind w:left="357"/>
        <w:outlineLvl w:val="2"/>
        <w:rPr>
          <w:b/>
          <w:bCs/>
          <w:i/>
          <w:iCs/>
          <w:color w:val="000000"/>
          <w:spacing w:val="-10"/>
          <w:kern w:val="28"/>
          <w:sz w:val="28"/>
          <w:szCs w:val="28"/>
        </w:rPr>
      </w:pPr>
    </w:p>
    <w:p w:rsidR="00F05138" w:rsidRPr="00950A55" w:rsidRDefault="00F05138" w:rsidP="00950A55">
      <w:pPr>
        <w:keepNext/>
        <w:keepLines/>
        <w:numPr>
          <w:ilvl w:val="0"/>
          <w:numId w:val="5"/>
        </w:numPr>
        <w:spacing w:before="40" w:after="0"/>
        <w:jc w:val="center"/>
        <w:outlineLvl w:val="4"/>
        <w:rPr>
          <w:b/>
          <w:bCs/>
          <w:sz w:val="28"/>
          <w:szCs w:val="28"/>
        </w:rPr>
      </w:pPr>
      <w:r w:rsidRPr="00950A55">
        <w:rPr>
          <w:b/>
          <w:bCs/>
          <w:sz w:val="28"/>
          <w:szCs w:val="28"/>
        </w:rPr>
        <w:t xml:space="preserve"> §</w:t>
      </w:r>
    </w:p>
    <w:p w:rsidR="00F05138" w:rsidRDefault="00F05138" w:rsidP="00A0023F"/>
    <w:p w:rsidR="00F05138" w:rsidRPr="00950A55" w:rsidRDefault="00F05138" w:rsidP="00D36666">
      <w:pPr>
        <w:pStyle w:val="Heading2"/>
        <w:numPr>
          <w:ilvl w:val="0"/>
          <w:numId w:val="28"/>
        </w:numPr>
        <w:ind w:left="426" w:hanging="426"/>
      </w:pPr>
      <w:r w:rsidRPr="00950A55">
        <w:t>Információs vagy más célú berendezés, amennyiben reklámot is tartalmaz az előkertben nem helyezhető el.</w:t>
      </w:r>
    </w:p>
    <w:p w:rsidR="00F05138" w:rsidRPr="00950A55" w:rsidRDefault="00F05138" w:rsidP="00950A55">
      <w:pPr>
        <w:pStyle w:val="Heading2"/>
      </w:pPr>
      <w:r w:rsidRPr="00950A55">
        <w:t>Közvilágítási berendezésen, hírközlési oszlopon reklám célú felület nem helyezhető el. Egyéb közműberendezésen legfeljebb 2 darab, A1-es méretet meg nem haladó méretű helyezhető el.</w:t>
      </w:r>
    </w:p>
    <w:p w:rsidR="00F05138" w:rsidRDefault="00F05138" w:rsidP="00950A55">
      <w:pPr>
        <w:pStyle w:val="Heading2"/>
      </w:pPr>
      <w:r w:rsidRPr="00950A55">
        <w:t>Önkormányzati információs tábla és egyedi tájékoztató tábla közterületen csak a gyalogos közlekedést nem zavaró módon helyezhető el.</w:t>
      </w:r>
    </w:p>
    <w:p w:rsidR="00F05138" w:rsidRPr="00BA5C9E" w:rsidRDefault="00F05138" w:rsidP="00BA5C9E">
      <w:pPr>
        <w:pStyle w:val="Heading2"/>
      </w:pPr>
      <w:r>
        <w:t>Természetvédelemmel érintett területeken reklámhordozó berendezések nem helyezhetők el.</w:t>
      </w:r>
    </w:p>
    <w:p w:rsidR="00F05138" w:rsidRPr="007C613E" w:rsidRDefault="00F05138" w:rsidP="00AC6DBA"/>
    <w:p w:rsidR="00F05138" w:rsidRDefault="00F05138" w:rsidP="00AC6DBA">
      <w:pPr>
        <w:pStyle w:val="Rmaiszmoscm"/>
      </w:pPr>
      <w:r>
        <w:t>Fejezet</w:t>
      </w:r>
    </w:p>
    <w:p w:rsidR="00F05138" w:rsidRPr="00AC6DBA" w:rsidRDefault="00F05138" w:rsidP="00050D27">
      <w:pPr>
        <w:pStyle w:val="Subtitle"/>
      </w:pPr>
      <w:r w:rsidRPr="007C613E">
        <w:t>Önkormányzati támogatási és ösztönző rendszer</w:t>
      </w:r>
    </w:p>
    <w:p w:rsidR="00F05138" w:rsidRPr="00BC1811" w:rsidRDefault="00F05138" w:rsidP="00F62479">
      <w:pPr>
        <w:pStyle w:val="Heading3"/>
      </w:pPr>
      <w:r w:rsidRPr="00BC1811">
        <w:t xml:space="preserve"> Helyi védelemmel érintett ingatlanok támogatási rendszere</w:t>
      </w:r>
    </w:p>
    <w:p w:rsidR="00F05138" w:rsidRDefault="00F05138" w:rsidP="00EE3479">
      <w:pPr>
        <w:pStyle w:val="Heading5"/>
      </w:pPr>
      <w:r>
        <w:t xml:space="preserve"> </w:t>
      </w:r>
      <w:r w:rsidRPr="007C613E">
        <w:t>§</w:t>
      </w:r>
    </w:p>
    <w:p w:rsidR="00F05138" w:rsidRDefault="00F05138" w:rsidP="00AC6DBA"/>
    <w:p w:rsidR="00F05138" w:rsidRDefault="00F05138" w:rsidP="00AC6DBA">
      <w:r w:rsidRPr="00950A55">
        <w:t>E rendeletben önkormányzati támogatási és ösztönző rendszer nem kerül bevezetésre.</w:t>
      </w:r>
    </w:p>
    <w:p w:rsidR="00F05138" w:rsidRDefault="00F05138" w:rsidP="00AC6DBA">
      <w:pPr>
        <w:rPr>
          <w:rFonts w:ascii="Cambria" w:hAnsi="Cambria" w:cs="Cambria"/>
        </w:rPr>
      </w:pPr>
    </w:p>
    <w:p w:rsidR="00F05138" w:rsidRPr="007C613E" w:rsidRDefault="00F05138" w:rsidP="00AC6DBA">
      <w:pPr>
        <w:rPr>
          <w:rFonts w:ascii="Cambria" w:hAnsi="Cambria" w:cs="Cambria"/>
        </w:rPr>
      </w:pPr>
    </w:p>
    <w:p w:rsidR="00F05138" w:rsidRDefault="00F05138" w:rsidP="00AC6DBA">
      <w:pPr>
        <w:pStyle w:val="Rmaiszmoscm"/>
      </w:pPr>
      <w:r>
        <w:t xml:space="preserve">Fejezet </w:t>
      </w:r>
    </w:p>
    <w:p w:rsidR="00F05138" w:rsidRPr="002D334F" w:rsidRDefault="00F05138" w:rsidP="00050D27">
      <w:pPr>
        <w:pStyle w:val="Subtitle"/>
      </w:pPr>
      <w:r w:rsidRPr="007C613E">
        <w:t>Településkép-érvényesítési eszközök</w:t>
      </w:r>
    </w:p>
    <w:p w:rsidR="00F05138" w:rsidRPr="00BC1811" w:rsidRDefault="00F05138" w:rsidP="00F62479">
      <w:pPr>
        <w:pStyle w:val="Heading3"/>
      </w:pPr>
      <w:r w:rsidRPr="00BC1811">
        <w:t xml:space="preserve"> A településkép-védelmi tájékoztatás és szakmai konzultáció</w:t>
      </w:r>
    </w:p>
    <w:p w:rsidR="00F05138" w:rsidRPr="007C613E" w:rsidRDefault="00F05138" w:rsidP="00EE3479">
      <w:pPr>
        <w:pStyle w:val="Heading5"/>
      </w:pPr>
      <w:r>
        <w:t xml:space="preserve"> </w:t>
      </w:r>
      <w:r w:rsidRPr="007C613E">
        <w:t>§</w:t>
      </w:r>
    </w:p>
    <w:p w:rsidR="00F05138" w:rsidRDefault="00F05138" w:rsidP="00AC6DBA"/>
    <w:p w:rsidR="00F05138" w:rsidRDefault="00F05138" w:rsidP="00AC6DBA"/>
    <w:p w:rsidR="00F05138" w:rsidRPr="00950A55" w:rsidRDefault="00F05138" w:rsidP="00D36666">
      <w:pPr>
        <w:pStyle w:val="Heading2"/>
        <w:numPr>
          <w:ilvl w:val="0"/>
          <w:numId w:val="29"/>
        </w:numPr>
        <w:ind w:left="426" w:hanging="426"/>
        <w:rPr>
          <w:spacing w:val="-1"/>
        </w:rPr>
      </w:pPr>
      <w:r w:rsidRPr="00950A55">
        <w:t>A</w:t>
      </w:r>
      <w:r w:rsidRPr="00950A55">
        <w:rPr>
          <w:spacing w:val="37"/>
        </w:rPr>
        <w:t xml:space="preserve"> </w:t>
      </w:r>
      <w:r w:rsidRPr="00950A55">
        <w:rPr>
          <w:spacing w:val="-1"/>
        </w:rPr>
        <w:t xml:space="preserve">településkép-védelmi tájékoztatás és szakmai konzultáció </w:t>
      </w:r>
      <w:r w:rsidRPr="00950A55">
        <w:t xml:space="preserve">kötelező minden olyan építési tevékenység esetén, mely </w:t>
      </w:r>
      <w:r w:rsidRPr="00950A55">
        <w:rPr>
          <w:color w:val="000000"/>
        </w:rPr>
        <w:t>a lakóépület építésének egyszerű bejelentéséről</w:t>
      </w:r>
      <w:r w:rsidRPr="00950A55">
        <w:t xml:space="preserve"> szóló </w:t>
      </w:r>
      <w:r w:rsidRPr="00950A55">
        <w:rPr>
          <w:color w:val="000000"/>
        </w:rPr>
        <w:t>155/2016. (VI. 13.) Korm. rendelet</w:t>
      </w:r>
      <w:r w:rsidRPr="00950A55">
        <w:t xml:space="preserve"> hatálya alá esik és helyi védett, vagy településképi szempontból meghatározó területen található</w:t>
      </w:r>
      <w:r>
        <w:t>, vagy helyi egyedi védelemmel érintett elemek esetén</w:t>
      </w:r>
      <w:r w:rsidRPr="00950A55">
        <w:rPr>
          <w:spacing w:val="-1"/>
        </w:rPr>
        <w:t>.</w:t>
      </w:r>
    </w:p>
    <w:p w:rsidR="00F05138" w:rsidRPr="00950A55" w:rsidRDefault="00F05138" w:rsidP="00950A55">
      <w:pPr>
        <w:pStyle w:val="Heading2"/>
      </w:pPr>
      <w:r w:rsidRPr="00950A55">
        <w:t>A</w:t>
      </w:r>
      <w:r w:rsidRPr="00950A55">
        <w:rPr>
          <w:spacing w:val="37"/>
        </w:rPr>
        <w:t xml:space="preserve"> </w:t>
      </w:r>
      <w:r w:rsidRPr="00950A55">
        <w:rPr>
          <w:spacing w:val="-1"/>
        </w:rPr>
        <w:t>településkép-védelmi tájékoztatás és szakmai konzultáció a települési főépítész, annak hiányában a polgármester feladata.</w:t>
      </w:r>
    </w:p>
    <w:p w:rsidR="00F05138" w:rsidRPr="00950A55" w:rsidRDefault="00F05138" w:rsidP="00950A55">
      <w:pPr>
        <w:pStyle w:val="Heading2"/>
      </w:pPr>
      <w:r w:rsidRPr="00950A55">
        <w:t>A</w:t>
      </w:r>
      <w:r w:rsidRPr="00950A55">
        <w:rPr>
          <w:spacing w:val="37"/>
        </w:rPr>
        <w:t xml:space="preserve"> </w:t>
      </w:r>
      <w:r w:rsidRPr="00950A55">
        <w:rPr>
          <w:spacing w:val="-1"/>
        </w:rPr>
        <w:t xml:space="preserve">településkép-védelmi tájékoztatást és szakmai konzultációt – az (1) bekezdésben foglaltakon kívül - </w:t>
      </w:r>
      <w:r w:rsidRPr="00950A55">
        <w:t>bármely</w:t>
      </w:r>
      <w:r w:rsidRPr="00950A55">
        <w:rPr>
          <w:spacing w:val="35"/>
        </w:rPr>
        <w:t xml:space="preserve"> </w:t>
      </w:r>
      <w:r w:rsidRPr="00950A55">
        <w:rPr>
          <w:spacing w:val="-1"/>
        </w:rPr>
        <w:t>természetes</w:t>
      </w:r>
      <w:r w:rsidRPr="00950A55">
        <w:rPr>
          <w:spacing w:val="37"/>
        </w:rPr>
        <w:t xml:space="preserve"> </w:t>
      </w:r>
      <w:r w:rsidRPr="00950A55">
        <w:t>vagy</w:t>
      </w:r>
      <w:r w:rsidRPr="00950A55">
        <w:rPr>
          <w:spacing w:val="73"/>
        </w:rPr>
        <w:t xml:space="preserve"> </w:t>
      </w:r>
      <w:r w:rsidRPr="00950A55">
        <w:rPr>
          <w:spacing w:val="-1"/>
        </w:rPr>
        <w:t>jogi</w:t>
      </w:r>
      <w:r w:rsidRPr="00950A55">
        <w:rPr>
          <w:spacing w:val="14"/>
        </w:rPr>
        <w:t xml:space="preserve"> </w:t>
      </w:r>
      <w:r w:rsidRPr="00950A55">
        <w:rPr>
          <w:spacing w:val="-1"/>
        </w:rPr>
        <w:t>személy,</w:t>
      </w:r>
      <w:r w:rsidRPr="00950A55">
        <w:rPr>
          <w:spacing w:val="16"/>
        </w:rPr>
        <w:t xml:space="preserve"> </w:t>
      </w:r>
      <w:r w:rsidRPr="00950A55">
        <w:rPr>
          <w:spacing w:val="-1"/>
        </w:rPr>
        <w:t>jogi</w:t>
      </w:r>
      <w:r w:rsidRPr="00950A55">
        <w:rPr>
          <w:spacing w:val="14"/>
        </w:rPr>
        <w:t xml:space="preserve"> </w:t>
      </w:r>
      <w:r w:rsidRPr="00950A55">
        <w:rPr>
          <w:spacing w:val="-1"/>
        </w:rPr>
        <w:t>személyiséggel</w:t>
      </w:r>
      <w:r w:rsidRPr="00950A55">
        <w:rPr>
          <w:spacing w:val="14"/>
        </w:rPr>
        <w:t xml:space="preserve"> </w:t>
      </w:r>
      <w:r w:rsidRPr="00950A55">
        <w:t>nem</w:t>
      </w:r>
      <w:r w:rsidRPr="00950A55">
        <w:rPr>
          <w:spacing w:val="14"/>
        </w:rPr>
        <w:t xml:space="preserve"> </w:t>
      </w:r>
      <w:r w:rsidRPr="00950A55">
        <w:rPr>
          <w:spacing w:val="-1"/>
        </w:rPr>
        <w:t>rendelkező</w:t>
      </w:r>
      <w:r w:rsidRPr="00950A55">
        <w:rPr>
          <w:spacing w:val="14"/>
        </w:rPr>
        <w:t xml:space="preserve"> </w:t>
      </w:r>
      <w:r w:rsidRPr="00950A55">
        <w:rPr>
          <w:spacing w:val="-1"/>
        </w:rPr>
        <w:t>szervezet</w:t>
      </w:r>
      <w:r w:rsidRPr="00950A55">
        <w:rPr>
          <w:spacing w:val="20"/>
        </w:rPr>
        <w:t xml:space="preserve"> </w:t>
      </w:r>
      <w:r w:rsidRPr="00950A55">
        <w:t>írásban</w:t>
      </w:r>
      <w:r w:rsidRPr="00950A55">
        <w:rPr>
          <w:spacing w:val="20"/>
        </w:rPr>
        <w:t xml:space="preserve"> </w:t>
      </w:r>
      <w:r w:rsidRPr="00950A55">
        <w:rPr>
          <w:spacing w:val="-1"/>
        </w:rPr>
        <w:t>kezdeményezheti a főépítésznél, annak hiányában a polgármesternél.</w:t>
      </w:r>
    </w:p>
    <w:p w:rsidR="00F05138" w:rsidRPr="00950A55" w:rsidRDefault="00F05138" w:rsidP="00950A55">
      <w:pPr>
        <w:pStyle w:val="Heading2"/>
        <w:rPr>
          <w:spacing w:val="-1"/>
        </w:rPr>
      </w:pPr>
      <w:r w:rsidRPr="00950A55">
        <w:t>A</w:t>
      </w:r>
      <w:r w:rsidRPr="00950A55">
        <w:rPr>
          <w:spacing w:val="37"/>
        </w:rPr>
        <w:t xml:space="preserve"> </w:t>
      </w:r>
      <w:r w:rsidRPr="00950A55">
        <w:rPr>
          <w:spacing w:val="-1"/>
        </w:rPr>
        <w:t>településkép-védelmi tájékoztatást és szakmai konzultációt legalább 8 nappal az építési tevékenység megkezdése előtt, illetve a településkép – védelmi tájékoztatás és szakmai konzultáció kezdeményezésének írásban történő benyújtását követő 8 napon belül le kell folytatni.</w:t>
      </w:r>
    </w:p>
    <w:p w:rsidR="00F05138" w:rsidRPr="00950A55" w:rsidRDefault="00F05138" w:rsidP="00950A55">
      <w:pPr>
        <w:pStyle w:val="Heading2"/>
        <w:rPr>
          <w:spacing w:val="-1"/>
        </w:rPr>
      </w:pPr>
      <w:r w:rsidRPr="00950A55">
        <w:t>A</w:t>
      </w:r>
      <w:r w:rsidRPr="00950A55">
        <w:rPr>
          <w:spacing w:val="37"/>
        </w:rPr>
        <w:t xml:space="preserve"> </w:t>
      </w:r>
      <w:r w:rsidRPr="00950A55">
        <w:rPr>
          <w:spacing w:val="-1"/>
        </w:rPr>
        <w:t>településkép-védelmi tájékoztatásról és szakmai konzultációról a főépítész, illetve annak hiányában a polgármester emlékeztetőt készít.</w:t>
      </w:r>
    </w:p>
    <w:p w:rsidR="00F05138" w:rsidRPr="00950A55" w:rsidRDefault="00F05138" w:rsidP="00950A55">
      <w:pPr>
        <w:pStyle w:val="Heading2"/>
      </w:pPr>
      <w:r w:rsidRPr="00950A55">
        <w:t>A</w:t>
      </w:r>
      <w:r w:rsidRPr="00950A55">
        <w:rPr>
          <w:spacing w:val="37"/>
        </w:rPr>
        <w:t xml:space="preserve"> </w:t>
      </w:r>
      <w:r w:rsidRPr="00950A55">
        <w:t>településkép-védelmi tájékoztatás és szakmai konzultáció díjmentes.</w:t>
      </w:r>
    </w:p>
    <w:p w:rsidR="00F05138" w:rsidRDefault="00F05138" w:rsidP="00AC6DBA"/>
    <w:p w:rsidR="00F05138" w:rsidRPr="00BC1811" w:rsidRDefault="00F05138" w:rsidP="00F62479">
      <w:pPr>
        <w:pStyle w:val="Heading3"/>
      </w:pPr>
      <w:r w:rsidRPr="00BC1811">
        <w:t xml:space="preserve"> A településképi véleményezési eljárás</w:t>
      </w:r>
    </w:p>
    <w:p w:rsidR="00F05138" w:rsidRDefault="00F05138" w:rsidP="00EE3479">
      <w:pPr>
        <w:pStyle w:val="Heading5"/>
      </w:pPr>
      <w:r>
        <w:t xml:space="preserve"> </w:t>
      </w:r>
      <w:r w:rsidRPr="007C613E">
        <w:t>§</w:t>
      </w:r>
    </w:p>
    <w:p w:rsidR="00F05138" w:rsidRPr="002C7F3F" w:rsidRDefault="00F05138" w:rsidP="002C7F3F"/>
    <w:p w:rsidR="00F05138" w:rsidRPr="00BC1811" w:rsidRDefault="00F05138" w:rsidP="00BC1811">
      <w:r w:rsidRPr="00BC1811">
        <w:t>E rendeletben településkép véleményezési eljárás nem kerül bevezetésre.</w:t>
      </w:r>
    </w:p>
    <w:p w:rsidR="00F05138" w:rsidRPr="007C613E" w:rsidRDefault="00F05138" w:rsidP="00AC6DBA">
      <w:pPr>
        <w:rPr>
          <w:rFonts w:ascii="Cambria" w:hAnsi="Cambria" w:cs="Cambria"/>
        </w:rPr>
      </w:pPr>
    </w:p>
    <w:p w:rsidR="00F05138" w:rsidRPr="00BC1811" w:rsidRDefault="00F05138" w:rsidP="00F62479">
      <w:pPr>
        <w:pStyle w:val="Heading3"/>
      </w:pPr>
      <w:r w:rsidRPr="00BC1811">
        <w:t>A településképi bejelentési eljárás</w:t>
      </w:r>
    </w:p>
    <w:p w:rsidR="00F05138" w:rsidRPr="007C613E" w:rsidRDefault="00F05138" w:rsidP="00EE3479">
      <w:pPr>
        <w:pStyle w:val="Heading5"/>
      </w:pPr>
      <w:r>
        <w:t xml:space="preserve"> </w:t>
      </w:r>
      <w:r w:rsidRPr="007C613E">
        <w:t>§</w:t>
      </w:r>
    </w:p>
    <w:p w:rsidR="00F05138" w:rsidRDefault="00F05138" w:rsidP="00A57B37"/>
    <w:p w:rsidR="00F05138" w:rsidRPr="00950A55" w:rsidRDefault="00F05138" w:rsidP="00D36666">
      <w:pPr>
        <w:pStyle w:val="Heading2"/>
        <w:numPr>
          <w:ilvl w:val="0"/>
          <w:numId w:val="30"/>
        </w:numPr>
        <w:ind w:left="426" w:hanging="426"/>
      </w:pPr>
      <w:r w:rsidRPr="00950A55">
        <w:t xml:space="preserve">Településképi bejelentési eljárást kell lefolytatni </w:t>
      </w:r>
    </w:p>
    <w:p w:rsidR="00F05138" w:rsidRPr="00950A55" w:rsidRDefault="00F05138" w:rsidP="00D36666">
      <w:pPr>
        <w:pStyle w:val="Heading6"/>
        <w:numPr>
          <w:ilvl w:val="0"/>
          <w:numId w:val="31"/>
        </w:numPr>
      </w:pPr>
      <w:r w:rsidRPr="00950A55">
        <w:t>a 312/2012. (XI. 8.) Korm. rendelet 1. melléklete szerinti építési engedélyhez nem kötött építési tevékenységeket megelőzően,</w:t>
      </w:r>
    </w:p>
    <w:p w:rsidR="00F05138" w:rsidRPr="00382080" w:rsidRDefault="00F05138" w:rsidP="00950A55">
      <w:pPr>
        <w:pStyle w:val="Heading6"/>
      </w:pPr>
      <w:r w:rsidRPr="00950A55">
        <w:t>meglévő építmények rendeltetésének részleges vagy teljes megváltoztatása, rendeltetési egység számának megváltoztatása esetén,</w:t>
      </w:r>
    </w:p>
    <w:p w:rsidR="00F05138" w:rsidRDefault="00F05138" w:rsidP="00950A55">
      <w:pPr>
        <w:pStyle w:val="Heading6"/>
      </w:pPr>
      <w:r w:rsidRPr="00950A55">
        <w:t>közterületen vagy közhasználatú magánterületen információs vagy más célú berendezés elhelyezése, átalakítása, megváltoztatása esetén.</w:t>
      </w:r>
    </w:p>
    <w:p w:rsidR="00F05138" w:rsidRPr="00481C72" w:rsidRDefault="00F05138" w:rsidP="00481C72">
      <w:pPr>
        <w:pStyle w:val="Heading6"/>
      </w:pPr>
      <w:r>
        <w:t>a teljes közigazgatási terület tekintetében reklámok, illetve hirdetőberendezések elhelyezése esetén.</w:t>
      </w:r>
    </w:p>
    <w:p w:rsidR="00F05138" w:rsidRPr="00950A55" w:rsidRDefault="00F05138" w:rsidP="00950A55">
      <w:pPr>
        <w:pStyle w:val="Heading2"/>
      </w:pPr>
      <w:r w:rsidRPr="00950A55">
        <w:t>Amennyiben az (1) bekezdés c) pontja szerinti információs vagy más célú berendezések elhelyezésére közterületen kerül sor, a közterület használatára szerződés csak a településképi bejelentési eljárás lefolytatását követően, a bejelentés tudomásulvételét tartalmazó igazolás alapján, és az abban meghatározott kikötések figyelembevételével köthető.</w:t>
      </w:r>
    </w:p>
    <w:p w:rsidR="00F05138" w:rsidRPr="00950A55" w:rsidRDefault="00F05138" w:rsidP="00950A55">
      <w:pPr>
        <w:pStyle w:val="Heading2"/>
      </w:pPr>
      <w:r w:rsidRPr="00950A55">
        <w:t>A településképi bejelentési eljárás az ügyfél által a polgármesterhez benyújtott bejelentésre indul. A bejelentéshez papíralapú dokumentációt vagy a dokumentációt tartalmazó digitális adathordozót kell mellékelni.</w:t>
      </w:r>
    </w:p>
    <w:p w:rsidR="00F05138" w:rsidRPr="00950A55" w:rsidRDefault="00F05138" w:rsidP="00950A55">
      <w:pPr>
        <w:pStyle w:val="Heading2"/>
      </w:pPr>
      <w:r w:rsidRPr="00950A55">
        <w:t>A dokumentációnak – a bejelentés tárgyának megfelelően – a településfejlesztési koncepcióról, az integrált településfejlesztési stratégiáról és a településrendezési eszközökről, valamint egyes településrendezési sajátos jogintézményekről szóló 314/2012. (XI. 8.) Korm. rendeletben előírt munkarészeket kell tartalmaznia.</w:t>
      </w:r>
    </w:p>
    <w:p w:rsidR="00F05138" w:rsidRPr="00950A55" w:rsidRDefault="00F05138" w:rsidP="00950A55">
      <w:pPr>
        <w:pStyle w:val="Heading2"/>
      </w:pPr>
      <w:r w:rsidRPr="00950A55">
        <w:t>A tevékenység a bejelentés alapján – a polgármester által kiadott igazolás birtokában, az abban foglalt esetleges kikötések figyelembevételével – megkezdhető, ha ahhoz egyéb hatósági engedély nem szükséges.</w:t>
      </w:r>
    </w:p>
    <w:p w:rsidR="00F05138" w:rsidRPr="00950A55" w:rsidRDefault="00F05138" w:rsidP="00950A55">
      <w:pPr>
        <w:pStyle w:val="Heading2"/>
      </w:pPr>
      <w:r w:rsidRPr="00950A55">
        <w:t>A polgármester által kiadott igazolás érvényessége az igazolás kiállításának dátumától számítva:</w:t>
      </w:r>
    </w:p>
    <w:p w:rsidR="00F05138" w:rsidRPr="00950A55" w:rsidRDefault="00F05138" w:rsidP="00D36666">
      <w:pPr>
        <w:pStyle w:val="Heading6"/>
        <w:numPr>
          <w:ilvl w:val="0"/>
          <w:numId w:val="32"/>
        </w:numPr>
      </w:pPr>
      <w:r>
        <w:t>állandó építmény esetén 1 év</w:t>
      </w:r>
      <w:r w:rsidRPr="00950A55">
        <w:t>,</w:t>
      </w:r>
    </w:p>
    <w:p w:rsidR="00F05138" w:rsidRPr="00950A55" w:rsidRDefault="00F05138" w:rsidP="00950A55">
      <w:pPr>
        <w:pStyle w:val="Heading6"/>
      </w:pPr>
      <w:r w:rsidRPr="00950A55">
        <w:t>legfeljebb 180 napig fennálló építmény esetén legfeljebb180 nap,</w:t>
      </w:r>
    </w:p>
    <w:p w:rsidR="00F05138" w:rsidRPr="00950A55" w:rsidRDefault="00F05138" w:rsidP="00950A55">
      <w:pPr>
        <w:pStyle w:val="Heading6"/>
      </w:pPr>
      <w:r w:rsidRPr="00950A55">
        <w:t>reklámcélú hirdetmény és hirdető-berendezése – kivéve cégér – esetén legfeljebb 2 év,</w:t>
      </w:r>
    </w:p>
    <w:p w:rsidR="00F05138" w:rsidRPr="00950A55" w:rsidRDefault="00F05138" w:rsidP="00950A55">
      <w:pPr>
        <w:pStyle w:val="Heading6"/>
      </w:pPr>
      <w:r w:rsidRPr="00950A55">
        <w:t>cégér, valamint cégjelző- és címjelző hirdetmények és hirdető-berendezései esetén a működés befejezésének időpontja, de legfeljebb 5 év,</w:t>
      </w:r>
    </w:p>
    <w:p w:rsidR="00F05138" w:rsidRPr="00950A55" w:rsidRDefault="00F05138" w:rsidP="00950A55">
      <w:pPr>
        <w:pStyle w:val="Heading6"/>
      </w:pPr>
      <w:r w:rsidRPr="00950A55">
        <w:t>útbaigazító hirdetmény esetén a működés befejezésének időpontja, de legfeljebb 2 év.</w:t>
      </w:r>
    </w:p>
    <w:p w:rsidR="00F05138" w:rsidRDefault="00F05138" w:rsidP="00A57B37"/>
    <w:p w:rsidR="00F05138" w:rsidRPr="00BC1811" w:rsidRDefault="00F05138" w:rsidP="00F62479">
      <w:pPr>
        <w:pStyle w:val="Heading3"/>
      </w:pPr>
      <w:r w:rsidRPr="00BC1811">
        <w:t xml:space="preserve"> A településképi kötelezés</w:t>
      </w:r>
    </w:p>
    <w:p w:rsidR="00F05138" w:rsidRPr="007C613E" w:rsidRDefault="00F05138" w:rsidP="00EE3479">
      <w:pPr>
        <w:pStyle w:val="Heading5"/>
      </w:pPr>
      <w:r>
        <w:t xml:space="preserve"> </w:t>
      </w:r>
      <w:r w:rsidRPr="007C613E">
        <w:t>§</w:t>
      </w:r>
    </w:p>
    <w:p w:rsidR="00F05138" w:rsidRDefault="00F05138" w:rsidP="00AC6DBA"/>
    <w:p w:rsidR="00F05138" w:rsidRPr="00950A55" w:rsidRDefault="00F05138" w:rsidP="00950A55">
      <w:r w:rsidRPr="00950A55">
        <w:t>E rendeletben településképi kötelezés nem kerül bevezetésre.</w:t>
      </w:r>
    </w:p>
    <w:p w:rsidR="00F05138" w:rsidRDefault="00F05138" w:rsidP="00BC1811"/>
    <w:p w:rsidR="00F05138" w:rsidRDefault="00F05138" w:rsidP="00AC6DBA"/>
    <w:p w:rsidR="00F05138" w:rsidRPr="00050D27" w:rsidRDefault="00F05138" w:rsidP="00050D27">
      <w:pPr>
        <w:pStyle w:val="Rmaiszmoscm"/>
      </w:pPr>
      <w:r w:rsidRPr="00050D27">
        <w:t>Fejezet</w:t>
      </w:r>
    </w:p>
    <w:p w:rsidR="00F05138" w:rsidRDefault="00F05138" w:rsidP="00050D27">
      <w:pPr>
        <w:pStyle w:val="Subtitle"/>
      </w:pPr>
      <w:r w:rsidRPr="007C613E">
        <w:t>Záró rendelkezések</w:t>
      </w:r>
    </w:p>
    <w:p w:rsidR="00F05138" w:rsidRDefault="00F05138" w:rsidP="00EE3479">
      <w:pPr>
        <w:pStyle w:val="Heading5"/>
      </w:pPr>
      <w:r w:rsidRPr="00050D27">
        <w:t>§</w:t>
      </w:r>
    </w:p>
    <w:p w:rsidR="00F05138" w:rsidRDefault="00F05138" w:rsidP="00BC1811"/>
    <w:p w:rsidR="00F05138" w:rsidRPr="00950A55" w:rsidRDefault="00F05138" w:rsidP="00D36666">
      <w:pPr>
        <w:pStyle w:val="Heading2"/>
        <w:numPr>
          <w:ilvl w:val="0"/>
          <w:numId w:val="33"/>
        </w:numPr>
        <w:ind w:left="426" w:hanging="426"/>
      </w:pPr>
      <w:r w:rsidRPr="00950A55">
        <w:t>E rendelet 201</w:t>
      </w:r>
      <w:r>
        <w:t>8</w:t>
      </w:r>
      <w:r w:rsidRPr="00950A55">
        <w:t>. …………napján lép hatályba.</w:t>
      </w:r>
    </w:p>
    <w:p w:rsidR="00F05138" w:rsidRPr="00950A55" w:rsidRDefault="00F05138" w:rsidP="00950A55">
      <w:pPr>
        <w:pStyle w:val="Heading2"/>
      </w:pPr>
      <w:r>
        <w:t xml:space="preserve">Tiszaderzs </w:t>
      </w:r>
      <w:r w:rsidRPr="00950A55">
        <w:t>Község Önkormán</w:t>
      </w:r>
      <w:r>
        <w:t>yzat Képviselő – testületének a Helyi Építési Szabályzatról szóló</w:t>
      </w:r>
      <w:r w:rsidRPr="0005153A">
        <w:t xml:space="preserve"> 6/2005. (X.</w:t>
      </w:r>
      <w:r>
        <w:t xml:space="preserve"> </w:t>
      </w:r>
      <w:r w:rsidRPr="0005153A">
        <w:t>7.)</w:t>
      </w:r>
      <w:r>
        <w:t xml:space="preserve"> számú </w:t>
      </w:r>
      <w:r w:rsidRPr="00950A55">
        <w:t>rendeletének alábbi részei hatályukat vesztik:</w:t>
      </w:r>
    </w:p>
    <w:p w:rsidR="00F05138" w:rsidRPr="00950A55" w:rsidRDefault="00F05138" w:rsidP="00D36666">
      <w:pPr>
        <w:pStyle w:val="Heading6"/>
        <w:numPr>
          <w:ilvl w:val="0"/>
          <w:numId w:val="34"/>
        </w:numPr>
      </w:pPr>
      <w:r>
        <w:t>5. § (1</w:t>
      </w:r>
      <w:r w:rsidRPr="00950A55">
        <w:t>) bekezdés</w:t>
      </w:r>
      <w:r>
        <w:t xml:space="preserve"> m.), r.) pontja,</w:t>
      </w:r>
    </w:p>
    <w:p w:rsidR="00F05138" w:rsidRPr="00950A55" w:rsidRDefault="00F05138" w:rsidP="00EF5E41">
      <w:pPr>
        <w:pStyle w:val="Heading6"/>
      </w:pPr>
      <w:r>
        <w:t>5. § (3</w:t>
      </w:r>
      <w:r w:rsidRPr="00950A55">
        <w:t xml:space="preserve">) bekezdés </w:t>
      </w:r>
      <w:r>
        <w:t>l.) pontja,</w:t>
      </w:r>
    </w:p>
    <w:p w:rsidR="00F05138" w:rsidRPr="00950A55" w:rsidRDefault="00F05138" w:rsidP="00950A55">
      <w:pPr>
        <w:pStyle w:val="Heading6"/>
      </w:pPr>
      <w:r>
        <w:t xml:space="preserve">6. § (2) </w:t>
      </w:r>
      <w:r w:rsidRPr="00950A55">
        <w:t>bekezdés</w:t>
      </w:r>
      <w:r>
        <w:t xml:space="preserve"> l.) pontja,</w:t>
      </w:r>
    </w:p>
    <w:p w:rsidR="00F05138" w:rsidRPr="00950A55" w:rsidRDefault="00F05138" w:rsidP="00950A55">
      <w:pPr>
        <w:pStyle w:val="Heading6"/>
      </w:pPr>
      <w:r>
        <w:t xml:space="preserve">6.§ (3) </w:t>
      </w:r>
      <w:r w:rsidRPr="00950A55">
        <w:t xml:space="preserve">bekezdés </w:t>
      </w:r>
      <w:r>
        <w:t>k.) pontja,</w:t>
      </w:r>
    </w:p>
    <w:p w:rsidR="00F05138" w:rsidRDefault="00F05138" w:rsidP="006A7BD5">
      <w:pPr>
        <w:pStyle w:val="Heading6"/>
      </w:pPr>
      <w:r>
        <w:t>7. § (5) bekezdés k.), l.) pontja,</w:t>
      </w:r>
    </w:p>
    <w:p w:rsidR="00F05138" w:rsidRDefault="00F05138" w:rsidP="00EE2465">
      <w:pPr>
        <w:pStyle w:val="Heading6"/>
      </w:pPr>
      <w:r>
        <w:t>8. § (1) bekezdés m.), n.) pontja,</w:t>
      </w:r>
    </w:p>
    <w:p w:rsidR="00F05138" w:rsidRDefault="00F05138" w:rsidP="006A7BD5">
      <w:pPr>
        <w:pStyle w:val="Heading6"/>
      </w:pPr>
      <w:r>
        <w:t>13. § (3) bekezdés első mondatából a „természetes anyag használatával” szövegrész,</w:t>
      </w:r>
    </w:p>
    <w:p w:rsidR="00F05138" w:rsidRDefault="00F05138" w:rsidP="00A3093A">
      <w:pPr>
        <w:pStyle w:val="Heading6"/>
      </w:pPr>
      <w:r>
        <w:t>13.§ (11) bekezdés h.) pontjából a 2., 3. mondat,</w:t>
      </w:r>
    </w:p>
    <w:p w:rsidR="00F05138" w:rsidRDefault="00F05138" w:rsidP="00F30BE5">
      <w:pPr>
        <w:pStyle w:val="Heading6"/>
      </w:pPr>
      <w:r>
        <w:t>19. § (4) bekezdéséből az „úgy, hogy az a kialakult utcaképet ne rontsa” szövegrész.</w:t>
      </w:r>
    </w:p>
    <w:p w:rsidR="00F05138" w:rsidRPr="00950A55" w:rsidRDefault="00F05138" w:rsidP="00D10FCD">
      <w:pPr>
        <w:pStyle w:val="Heading2"/>
      </w:pPr>
      <w:r>
        <w:t xml:space="preserve">Tiszaderzs </w:t>
      </w:r>
      <w:r w:rsidRPr="00950A55">
        <w:t>Község Önkormán</w:t>
      </w:r>
      <w:r>
        <w:t xml:space="preserve">yzat Képviselő – testületének a Helyi Építési Szabályzatról </w:t>
      </w:r>
      <w:r w:rsidRPr="0005153A">
        <w:t>szóló  6/2005. (X.</w:t>
      </w:r>
      <w:r>
        <w:t xml:space="preserve"> </w:t>
      </w:r>
      <w:r w:rsidRPr="0005153A">
        <w:t>7.)</w:t>
      </w:r>
      <w:r>
        <w:t xml:space="preserve"> számú </w:t>
      </w:r>
      <w:r w:rsidRPr="00950A55">
        <w:t xml:space="preserve">rendeletének </w:t>
      </w:r>
    </w:p>
    <w:p w:rsidR="00F05138" w:rsidRDefault="00F05138" w:rsidP="00D10FCD">
      <w:pPr>
        <w:pStyle w:val="Heading6"/>
        <w:numPr>
          <w:ilvl w:val="0"/>
          <w:numId w:val="35"/>
        </w:numPr>
      </w:pPr>
      <w:r>
        <w:t>a 13. § (9) bekezdés c.) pontja az alábbiak szerint módosul: „Az M</w:t>
      </w:r>
      <w:r w:rsidRPr="00D10FCD">
        <w:rPr>
          <w:vertAlign w:val="subscript"/>
        </w:rPr>
        <w:t>á</w:t>
      </w:r>
      <w:r w:rsidRPr="00D10FCD">
        <w:rPr>
          <w:smallCaps/>
          <w:vertAlign w:val="subscript"/>
        </w:rPr>
        <w:t>tök</w:t>
      </w:r>
      <w:r>
        <w:t xml:space="preserve"> övezetben az elhelyezhető épületek maximális építménymagassága 4,00 m.”,</w:t>
      </w:r>
    </w:p>
    <w:p w:rsidR="00F05138" w:rsidRDefault="00F05138" w:rsidP="00D10FCD">
      <w:pPr>
        <w:pStyle w:val="Heading6"/>
        <w:numPr>
          <w:ilvl w:val="0"/>
          <w:numId w:val="35"/>
        </w:numPr>
      </w:pPr>
      <w:bookmarkStart w:id="0" w:name="_GoBack"/>
      <w:bookmarkEnd w:id="0"/>
      <w:r>
        <w:t>a 13. § második (11) bekezdésének (D. Mezőgazdasági – szérűskert terület) a számozása javításra kerül, (12) számozást kap,</w:t>
      </w:r>
    </w:p>
    <w:p w:rsidR="00F05138" w:rsidRDefault="00F05138" w:rsidP="00D10FCD">
      <w:pPr>
        <w:pStyle w:val="Heading6"/>
        <w:numPr>
          <w:ilvl w:val="0"/>
          <w:numId w:val="35"/>
        </w:numPr>
      </w:pPr>
      <w:r>
        <w:t>a 13. § (12) bekezdésének (E. Mezőgazdasági – mocsár terület) a számozása javításra kerül, (13) számozást kap,</w:t>
      </w:r>
    </w:p>
    <w:p w:rsidR="00F05138" w:rsidRDefault="00F05138" w:rsidP="00A3093A">
      <w:pPr>
        <w:pStyle w:val="Heading6"/>
        <w:numPr>
          <w:ilvl w:val="0"/>
          <w:numId w:val="35"/>
        </w:numPr>
      </w:pPr>
      <w:r>
        <w:t>a 13. § második (13) bekezdésének (F. Kertes mezőgazdasági terület) a számozása javításra kerül, (14) számozást kap.</w:t>
      </w:r>
    </w:p>
    <w:p w:rsidR="00F05138" w:rsidRPr="00950A55" w:rsidRDefault="00F05138" w:rsidP="00950A55"/>
    <w:p w:rsidR="00F05138" w:rsidRPr="00950A55" w:rsidRDefault="00F05138" w:rsidP="00950A55">
      <w:r>
        <w:t>Tiszaderzs</w:t>
      </w:r>
      <w:r w:rsidRPr="00950A55">
        <w:t>,  201</w:t>
      </w:r>
      <w:r>
        <w:t>8</w:t>
      </w:r>
      <w:r w:rsidRPr="00950A55">
        <w:t>. .............</w:t>
      </w:r>
    </w:p>
    <w:p w:rsidR="00F05138" w:rsidRPr="00950A55" w:rsidRDefault="00F05138" w:rsidP="00950A55"/>
    <w:p w:rsidR="00F05138" w:rsidRPr="00950A55" w:rsidRDefault="00F05138" w:rsidP="00950A55"/>
    <w:tbl>
      <w:tblPr>
        <w:tblW w:w="0" w:type="auto"/>
        <w:jc w:val="center"/>
        <w:tblLook w:val="00A0"/>
      </w:tblPr>
      <w:tblGrid>
        <w:gridCol w:w="4531"/>
        <w:gridCol w:w="4531"/>
      </w:tblGrid>
      <w:tr w:rsidR="00F05138" w:rsidRPr="00950A55">
        <w:trPr>
          <w:jc w:val="center"/>
        </w:trPr>
        <w:tc>
          <w:tcPr>
            <w:tcW w:w="4531" w:type="dxa"/>
          </w:tcPr>
          <w:p w:rsidR="00F05138" w:rsidRPr="00C5234B" w:rsidRDefault="00F05138" w:rsidP="00950A55">
            <w:pPr>
              <w:rPr>
                <w:sz w:val="22"/>
                <w:szCs w:val="22"/>
              </w:rPr>
            </w:pPr>
          </w:p>
          <w:p w:rsidR="00F05138" w:rsidRPr="00C5234B" w:rsidRDefault="00F05138" w:rsidP="00C5234B">
            <w:pPr>
              <w:ind w:left="1164"/>
              <w:rPr>
                <w:sz w:val="22"/>
                <w:szCs w:val="22"/>
              </w:rPr>
            </w:pPr>
            <w:r w:rsidRPr="00C5234B">
              <w:rPr>
                <w:sz w:val="22"/>
                <w:szCs w:val="22"/>
              </w:rPr>
              <w:t>polgármester</w:t>
            </w:r>
          </w:p>
        </w:tc>
        <w:tc>
          <w:tcPr>
            <w:tcW w:w="4531" w:type="dxa"/>
          </w:tcPr>
          <w:p w:rsidR="00F05138" w:rsidRPr="00C5234B" w:rsidRDefault="00F05138" w:rsidP="00950A55">
            <w:pPr>
              <w:rPr>
                <w:sz w:val="22"/>
                <w:szCs w:val="22"/>
              </w:rPr>
            </w:pPr>
          </w:p>
          <w:p w:rsidR="00F05138" w:rsidRPr="00C5234B" w:rsidRDefault="00F05138" w:rsidP="00C5234B">
            <w:pPr>
              <w:ind w:left="1741"/>
              <w:rPr>
                <w:sz w:val="22"/>
                <w:szCs w:val="22"/>
              </w:rPr>
            </w:pPr>
            <w:r w:rsidRPr="00C5234B">
              <w:rPr>
                <w:sz w:val="22"/>
                <w:szCs w:val="22"/>
              </w:rPr>
              <w:t>jegyző</w:t>
            </w:r>
          </w:p>
        </w:tc>
      </w:tr>
    </w:tbl>
    <w:p w:rsidR="00F05138" w:rsidRPr="00950A55" w:rsidRDefault="00F05138" w:rsidP="00950A55"/>
    <w:p w:rsidR="00F05138" w:rsidRPr="00950A55" w:rsidRDefault="00F05138" w:rsidP="00950A55"/>
    <w:p w:rsidR="00F05138" w:rsidRPr="00950A55" w:rsidRDefault="00F05138" w:rsidP="00950A55"/>
    <w:p w:rsidR="00F05138" w:rsidRPr="00950A55" w:rsidRDefault="00F05138" w:rsidP="00950A55"/>
    <w:p w:rsidR="00F05138" w:rsidRPr="00950A55" w:rsidRDefault="00F05138" w:rsidP="00950A55"/>
    <w:p w:rsidR="00F05138" w:rsidRPr="00950A55" w:rsidRDefault="00F05138" w:rsidP="00950A55"/>
    <w:p w:rsidR="00F05138" w:rsidRPr="00950A55" w:rsidRDefault="00F05138" w:rsidP="00950A55">
      <w:pPr>
        <w:jc w:val="right"/>
        <w:rPr>
          <w:i/>
          <w:iCs/>
        </w:rPr>
      </w:pPr>
      <w:r w:rsidRPr="00950A55">
        <w:rPr>
          <w:i/>
          <w:iCs/>
        </w:rPr>
        <w:t>1. melléklet a …./201</w:t>
      </w:r>
      <w:r>
        <w:rPr>
          <w:i/>
          <w:iCs/>
        </w:rPr>
        <w:t>8</w:t>
      </w:r>
      <w:r w:rsidRPr="00950A55">
        <w:rPr>
          <w:i/>
          <w:iCs/>
        </w:rPr>
        <w:t>. (……) önkormányzati rendelethez</w:t>
      </w:r>
    </w:p>
    <w:p w:rsidR="00F05138" w:rsidRPr="00950A55" w:rsidRDefault="00F05138" w:rsidP="00950A55">
      <w:pPr>
        <w:rPr>
          <w:spacing w:val="-1"/>
        </w:rPr>
      </w:pPr>
    </w:p>
    <w:p w:rsidR="00F05138" w:rsidRPr="00950A55" w:rsidRDefault="00F05138" w:rsidP="00007C83">
      <w:r w:rsidRPr="00950A55">
        <w:t>Településképi szempontból meghatározó területek lehatárolása - Belterület</w:t>
      </w:r>
    </w:p>
    <w:p w:rsidR="00F05138" w:rsidRPr="00950A55" w:rsidRDefault="00F05138" w:rsidP="00950A55">
      <w:pPr>
        <w:rPr>
          <w:spacing w:val="-1"/>
        </w:rPr>
      </w:pPr>
    </w:p>
    <w:p w:rsidR="00F05138" w:rsidRPr="00950A55" w:rsidRDefault="00F05138" w:rsidP="004D3523">
      <w:pPr>
        <w:jc w:val="center"/>
      </w:pPr>
    </w:p>
    <w:p w:rsidR="00F05138" w:rsidRPr="00950A55" w:rsidRDefault="00F05138" w:rsidP="00950A5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62" o:spid="_x0000_s1026" type="#_x0000_t75" style="position:absolute;left:0;text-align:left;margin-left:232.35pt;margin-top:127.7pt;width:213.2pt;height:49.15pt;z-index:251656192;visibility:visible">
            <v:imagedata r:id="rId7" o:title="" cropbottom="31982f"/>
          </v:shape>
        </w:pict>
      </w:r>
    </w:p>
    <w:p w:rsidR="00F05138" w:rsidRPr="00950A55" w:rsidRDefault="00F05138" w:rsidP="00950A55"/>
    <w:p w:rsidR="00F05138" w:rsidRPr="00BC1811" w:rsidRDefault="00F05138" w:rsidP="00BC1811"/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  <w:r>
        <w:rPr>
          <w:noProof/>
        </w:rPr>
        <w:pict>
          <v:shape id="Kép 163" o:spid="_x0000_s1027" type="#_x0000_t75" style="position:absolute;left:0;text-align:left;margin-left:41.25pt;margin-top:17.2pt;width:357.15pt;height:275.4pt;z-index:251657216;visibility:visible">
            <v:imagedata r:id="rId8" o:title=""/>
          </v:shape>
        </w:pict>
      </w: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  <w:r>
        <w:rPr>
          <w:noProof/>
        </w:rPr>
        <w:pict>
          <v:shape id="_x0000_s1028" type="#_x0000_t75" style="position:absolute;left:0;text-align:left;margin-left:284.95pt;margin-top:227.3pt;width:213.25pt;height:43.45pt;z-index:251659264;visibility:visible">
            <v:imagedata r:id="rId7" o:title="" croptop="35652f"/>
          </v:shape>
        </w:pict>
      </w:r>
      <w:r>
        <w:rPr>
          <w:noProof/>
        </w:rPr>
        <w:pict>
          <v:shape id="Kép 166" o:spid="_x0000_s1029" type="#_x0000_t75" style="position:absolute;left:0;text-align:left;margin-left:24.35pt;margin-top:274.15pt;width:389.35pt;height:305.15pt;z-index:251658240;visibility:visible">
            <v:imagedata r:id="rId9" o:title=""/>
          </v:shape>
        </w:pict>
      </w: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p w:rsidR="00F05138" w:rsidRDefault="00F05138" w:rsidP="00EA2A0E">
      <w:pPr>
        <w:rPr>
          <w:rFonts w:ascii="Cambria" w:hAnsi="Cambria" w:cs="Cambria"/>
        </w:rPr>
      </w:pPr>
    </w:p>
    <w:sectPr w:rsidR="00F05138" w:rsidSect="009B53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38" w:rsidRDefault="00F05138" w:rsidP="009856FE">
      <w:r>
        <w:separator/>
      </w:r>
    </w:p>
  </w:endnote>
  <w:endnote w:type="continuationSeparator" w:id="0">
    <w:p w:rsidR="00F05138" w:rsidRDefault="00F05138" w:rsidP="0098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38" w:rsidRDefault="00F05138" w:rsidP="008D5A5D">
    <w:pPr>
      <w:pStyle w:val="Footer"/>
      <w:jc w:val="center"/>
    </w:pPr>
    <w:fldSimple w:instr="PAGE   \* MERGEFORMAT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38" w:rsidRDefault="00F05138" w:rsidP="009856FE">
      <w:r>
        <w:separator/>
      </w:r>
    </w:p>
  </w:footnote>
  <w:footnote w:type="continuationSeparator" w:id="0">
    <w:p w:rsidR="00F05138" w:rsidRDefault="00F05138" w:rsidP="00985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DC3"/>
    <w:multiLevelType w:val="hybridMultilevel"/>
    <w:tmpl w:val="681C88D4"/>
    <w:lvl w:ilvl="0" w:tplc="5C36060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A29"/>
    <w:multiLevelType w:val="hybridMultilevel"/>
    <w:tmpl w:val="B54841FA"/>
    <w:lvl w:ilvl="0" w:tplc="A2EEF0AA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D40"/>
    <w:multiLevelType w:val="hybridMultilevel"/>
    <w:tmpl w:val="CB40CAA2"/>
    <w:lvl w:ilvl="0" w:tplc="D068B492">
      <w:start w:val="1"/>
      <w:numFmt w:val="decimal"/>
      <w:pStyle w:val="2fejezetzrjelese"/>
      <w:lvlText w:val="(%1)"/>
      <w:lvlJc w:val="left"/>
      <w:pPr>
        <w:ind w:left="11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37" w:hanging="360"/>
      </w:pPr>
    </w:lvl>
    <w:lvl w:ilvl="2" w:tplc="040E001B">
      <w:start w:val="1"/>
      <w:numFmt w:val="lowerRoman"/>
      <w:lvlText w:val="%3."/>
      <w:lvlJc w:val="right"/>
      <w:pPr>
        <w:ind w:left="2557" w:hanging="180"/>
      </w:pPr>
    </w:lvl>
    <w:lvl w:ilvl="3" w:tplc="040E000F">
      <w:start w:val="1"/>
      <w:numFmt w:val="decimal"/>
      <w:lvlText w:val="%4."/>
      <w:lvlJc w:val="left"/>
      <w:pPr>
        <w:ind w:left="3277" w:hanging="360"/>
      </w:pPr>
    </w:lvl>
    <w:lvl w:ilvl="4" w:tplc="040E0019">
      <w:start w:val="1"/>
      <w:numFmt w:val="lowerLetter"/>
      <w:lvlText w:val="%5."/>
      <w:lvlJc w:val="left"/>
      <w:pPr>
        <w:ind w:left="3997" w:hanging="360"/>
      </w:pPr>
    </w:lvl>
    <w:lvl w:ilvl="5" w:tplc="040E001B">
      <w:start w:val="1"/>
      <w:numFmt w:val="lowerRoman"/>
      <w:lvlText w:val="%6."/>
      <w:lvlJc w:val="right"/>
      <w:pPr>
        <w:ind w:left="4717" w:hanging="180"/>
      </w:pPr>
    </w:lvl>
    <w:lvl w:ilvl="6" w:tplc="040E000F">
      <w:start w:val="1"/>
      <w:numFmt w:val="decimal"/>
      <w:lvlText w:val="%7."/>
      <w:lvlJc w:val="left"/>
      <w:pPr>
        <w:ind w:left="5437" w:hanging="360"/>
      </w:pPr>
    </w:lvl>
    <w:lvl w:ilvl="7" w:tplc="040E0019">
      <w:start w:val="1"/>
      <w:numFmt w:val="lowerLetter"/>
      <w:lvlText w:val="%8."/>
      <w:lvlJc w:val="left"/>
      <w:pPr>
        <w:ind w:left="6157" w:hanging="360"/>
      </w:pPr>
    </w:lvl>
    <w:lvl w:ilvl="8" w:tplc="040E001B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5E47027"/>
    <w:multiLevelType w:val="hybridMultilevel"/>
    <w:tmpl w:val="AAD2C9C2"/>
    <w:lvl w:ilvl="0" w:tplc="BA303708">
      <w:start w:val="1"/>
      <w:numFmt w:val="lowerLetter"/>
      <w:pStyle w:val="Heading9"/>
      <w:lvlText w:val="c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iCs/>
        <w:color w:val="auto"/>
        <w:sz w:val="24"/>
        <w:szCs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6619"/>
    <w:multiLevelType w:val="hybridMultilevel"/>
    <w:tmpl w:val="F8E4C976"/>
    <w:lvl w:ilvl="0" w:tplc="30605010">
      <w:start w:val="1"/>
      <w:numFmt w:val="lowerLetter"/>
      <w:pStyle w:val="Heading7"/>
      <w:lvlText w:val="a%1)"/>
      <w:lvlJc w:val="left"/>
      <w:pPr>
        <w:ind w:left="1154" w:hanging="360"/>
      </w:pPr>
      <w:rPr>
        <w:rFonts w:ascii="Times New Roman" w:hAnsi="Times New Roman" w:cs="Times New Roman" w:hint="default"/>
        <w:b w:val="0"/>
        <w:bCs w:val="0"/>
        <w:i/>
        <w:iCs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60E5"/>
    <w:multiLevelType w:val="hybridMultilevel"/>
    <w:tmpl w:val="90DE03DE"/>
    <w:lvl w:ilvl="0" w:tplc="6DA82BA0">
      <w:start w:val="1"/>
      <w:numFmt w:val="lowerLetter"/>
      <w:pStyle w:val="Heading6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/>
        <w:iCs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2824"/>
    <w:multiLevelType w:val="hybridMultilevel"/>
    <w:tmpl w:val="899472B2"/>
    <w:lvl w:ilvl="0" w:tplc="B6C4EFB4">
      <w:start w:val="1"/>
      <w:numFmt w:val="upperRoman"/>
      <w:pStyle w:val="Rmaiszmoscm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105A"/>
    <w:multiLevelType w:val="hybridMultilevel"/>
    <w:tmpl w:val="DD9647AC"/>
    <w:lvl w:ilvl="0" w:tplc="DF6003F6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217E"/>
    <w:multiLevelType w:val="hybridMultilevel"/>
    <w:tmpl w:val="86FA94E4"/>
    <w:lvl w:ilvl="0" w:tplc="1C6A9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6E4B0F69"/>
    <w:multiLevelType w:val="hybridMultilevel"/>
    <w:tmpl w:val="BCC8D844"/>
    <w:lvl w:ilvl="0" w:tplc="04CC7C66">
      <w:start w:val="1"/>
      <w:numFmt w:val="lowerLetter"/>
      <w:pStyle w:val="Heading8"/>
      <w:lvlText w:val="b%1)"/>
      <w:lvlJc w:val="left"/>
      <w:pPr>
        <w:ind w:left="1154" w:hanging="360"/>
      </w:pPr>
      <w:rPr>
        <w:rFonts w:ascii="Times New Roman" w:hAnsi="Times New Roman" w:cs="Times New Roman" w:hint="default"/>
        <w:b w:val="0"/>
        <w:bCs w:val="0"/>
        <w:i/>
        <w:iCs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D4"/>
    <w:multiLevelType w:val="hybridMultilevel"/>
    <w:tmpl w:val="0124338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B7CF0"/>
    <w:multiLevelType w:val="hybridMultilevel"/>
    <w:tmpl w:val="F440EF9A"/>
    <w:lvl w:ilvl="0" w:tplc="8B8849CE">
      <w:start w:val="1"/>
      <w:numFmt w:val="decimal"/>
      <w:pStyle w:val="Heading2"/>
      <w:lvlText w:val="(%1)"/>
      <w:lvlJc w:val="left"/>
      <w:pPr>
        <w:ind w:left="1353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7"/>
    </w:lvlOverride>
  </w:num>
  <w:num w:numId="22">
    <w:abstractNumId w:val="11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A7"/>
    <w:rsid w:val="00005DAF"/>
    <w:rsid w:val="000077DB"/>
    <w:rsid w:val="00007C83"/>
    <w:rsid w:val="00016B8E"/>
    <w:rsid w:val="00032817"/>
    <w:rsid w:val="00040A70"/>
    <w:rsid w:val="00050900"/>
    <w:rsid w:val="00050D27"/>
    <w:rsid w:val="0005153A"/>
    <w:rsid w:val="0005375A"/>
    <w:rsid w:val="000569F7"/>
    <w:rsid w:val="0007025E"/>
    <w:rsid w:val="00086E1F"/>
    <w:rsid w:val="0008716C"/>
    <w:rsid w:val="0009187E"/>
    <w:rsid w:val="00092796"/>
    <w:rsid w:val="000A1253"/>
    <w:rsid w:val="000B1C3C"/>
    <w:rsid w:val="000D5C55"/>
    <w:rsid w:val="000E54D2"/>
    <w:rsid w:val="00114DC5"/>
    <w:rsid w:val="00115D08"/>
    <w:rsid w:val="00121711"/>
    <w:rsid w:val="00123FF4"/>
    <w:rsid w:val="00130898"/>
    <w:rsid w:val="00133F0C"/>
    <w:rsid w:val="00150F2B"/>
    <w:rsid w:val="00151CE0"/>
    <w:rsid w:val="00154246"/>
    <w:rsid w:val="0016038F"/>
    <w:rsid w:val="00170709"/>
    <w:rsid w:val="001735D6"/>
    <w:rsid w:val="001744B5"/>
    <w:rsid w:val="001A1D99"/>
    <w:rsid w:val="001A4E17"/>
    <w:rsid w:val="001A5327"/>
    <w:rsid w:val="001C580E"/>
    <w:rsid w:val="001D4CDE"/>
    <w:rsid w:val="001E0E6C"/>
    <w:rsid w:val="001E3442"/>
    <w:rsid w:val="001F362C"/>
    <w:rsid w:val="001F5BAA"/>
    <w:rsid w:val="0020091E"/>
    <w:rsid w:val="0021493D"/>
    <w:rsid w:val="00222605"/>
    <w:rsid w:val="0022325E"/>
    <w:rsid w:val="00226426"/>
    <w:rsid w:val="00234724"/>
    <w:rsid w:val="00241AA9"/>
    <w:rsid w:val="002511E9"/>
    <w:rsid w:val="00261BCE"/>
    <w:rsid w:val="00271097"/>
    <w:rsid w:val="002720C8"/>
    <w:rsid w:val="00274BE2"/>
    <w:rsid w:val="00281AD6"/>
    <w:rsid w:val="00293DA9"/>
    <w:rsid w:val="002A2E6E"/>
    <w:rsid w:val="002A40C0"/>
    <w:rsid w:val="002A490C"/>
    <w:rsid w:val="002C5F3F"/>
    <w:rsid w:val="002C7F3F"/>
    <w:rsid w:val="002D334F"/>
    <w:rsid w:val="002E0DFE"/>
    <w:rsid w:val="002F27F2"/>
    <w:rsid w:val="002F3198"/>
    <w:rsid w:val="002F40AE"/>
    <w:rsid w:val="00313B35"/>
    <w:rsid w:val="003377E2"/>
    <w:rsid w:val="00342876"/>
    <w:rsid w:val="00346807"/>
    <w:rsid w:val="00355828"/>
    <w:rsid w:val="00372722"/>
    <w:rsid w:val="00382080"/>
    <w:rsid w:val="003A7EB0"/>
    <w:rsid w:val="003B182C"/>
    <w:rsid w:val="003B392D"/>
    <w:rsid w:val="003B6F7C"/>
    <w:rsid w:val="003C3F69"/>
    <w:rsid w:val="003C618A"/>
    <w:rsid w:val="003D0939"/>
    <w:rsid w:val="003D2335"/>
    <w:rsid w:val="003D551F"/>
    <w:rsid w:val="003D63AB"/>
    <w:rsid w:val="003E768B"/>
    <w:rsid w:val="00407029"/>
    <w:rsid w:val="0040702A"/>
    <w:rsid w:val="00407E6F"/>
    <w:rsid w:val="00413510"/>
    <w:rsid w:val="004136F9"/>
    <w:rsid w:val="00422270"/>
    <w:rsid w:val="004468A1"/>
    <w:rsid w:val="00453622"/>
    <w:rsid w:val="0045618A"/>
    <w:rsid w:val="00461277"/>
    <w:rsid w:val="004779BC"/>
    <w:rsid w:val="00481C72"/>
    <w:rsid w:val="004851BD"/>
    <w:rsid w:val="004A0A70"/>
    <w:rsid w:val="004B2524"/>
    <w:rsid w:val="004D3523"/>
    <w:rsid w:val="004D41FB"/>
    <w:rsid w:val="004D55A6"/>
    <w:rsid w:val="004E2E0D"/>
    <w:rsid w:val="004F0019"/>
    <w:rsid w:val="0050386C"/>
    <w:rsid w:val="0053783F"/>
    <w:rsid w:val="005638EF"/>
    <w:rsid w:val="0057114B"/>
    <w:rsid w:val="0059232C"/>
    <w:rsid w:val="005B704A"/>
    <w:rsid w:val="005C342D"/>
    <w:rsid w:val="005D1190"/>
    <w:rsid w:val="005D1D03"/>
    <w:rsid w:val="005F42A4"/>
    <w:rsid w:val="005F6B98"/>
    <w:rsid w:val="00606A81"/>
    <w:rsid w:val="0061003B"/>
    <w:rsid w:val="006117F5"/>
    <w:rsid w:val="0061399E"/>
    <w:rsid w:val="006359C4"/>
    <w:rsid w:val="00654D1A"/>
    <w:rsid w:val="006614FD"/>
    <w:rsid w:val="006635C7"/>
    <w:rsid w:val="006755D3"/>
    <w:rsid w:val="00677ADC"/>
    <w:rsid w:val="00685370"/>
    <w:rsid w:val="00686B61"/>
    <w:rsid w:val="006A7B96"/>
    <w:rsid w:val="006A7BD5"/>
    <w:rsid w:val="006B4F67"/>
    <w:rsid w:val="006C07A2"/>
    <w:rsid w:val="006D4729"/>
    <w:rsid w:val="006D775C"/>
    <w:rsid w:val="006E2461"/>
    <w:rsid w:val="006F17EA"/>
    <w:rsid w:val="00707CA5"/>
    <w:rsid w:val="0071246D"/>
    <w:rsid w:val="00715ED7"/>
    <w:rsid w:val="0071747B"/>
    <w:rsid w:val="00720C17"/>
    <w:rsid w:val="00742AFB"/>
    <w:rsid w:val="00774C62"/>
    <w:rsid w:val="007C613E"/>
    <w:rsid w:val="007D3021"/>
    <w:rsid w:val="007E3DC0"/>
    <w:rsid w:val="007F2962"/>
    <w:rsid w:val="008059B8"/>
    <w:rsid w:val="00827705"/>
    <w:rsid w:val="0083178C"/>
    <w:rsid w:val="00832905"/>
    <w:rsid w:val="008375ED"/>
    <w:rsid w:val="00853CD0"/>
    <w:rsid w:val="00863EAC"/>
    <w:rsid w:val="00865537"/>
    <w:rsid w:val="00881439"/>
    <w:rsid w:val="00886551"/>
    <w:rsid w:val="008A1A47"/>
    <w:rsid w:val="008A1EFD"/>
    <w:rsid w:val="008B2B25"/>
    <w:rsid w:val="008D5A5D"/>
    <w:rsid w:val="008E4755"/>
    <w:rsid w:val="008F396E"/>
    <w:rsid w:val="009110FA"/>
    <w:rsid w:val="00911F80"/>
    <w:rsid w:val="00912B1D"/>
    <w:rsid w:val="0092198F"/>
    <w:rsid w:val="00933C6B"/>
    <w:rsid w:val="00941AFC"/>
    <w:rsid w:val="009469C0"/>
    <w:rsid w:val="00947251"/>
    <w:rsid w:val="0095035C"/>
    <w:rsid w:val="00950A55"/>
    <w:rsid w:val="00972260"/>
    <w:rsid w:val="0097656E"/>
    <w:rsid w:val="009856FE"/>
    <w:rsid w:val="009B5330"/>
    <w:rsid w:val="009F4C70"/>
    <w:rsid w:val="00A0023F"/>
    <w:rsid w:val="00A042DC"/>
    <w:rsid w:val="00A102F7"/>
    <w:rsid w:val="00A21E30"/>
    <w:rsid w:val="00A3093A"/>
    <w:rsid w:val="00A370D3"/>
    <w:rsid w:val="00A42B99"/>
    <w:rsid w:val="00A45A81"/>
    <w:rsid w:val="00A51AFB"/>
    <w:rsid w:val="00A57143"/>
    <w:rsid w:val="00A57B37"/>
    <w:rsid w:val="00A637A9"/>
    <w:rsid w:val="00A67EDE"/>
    <w:rsid w:val="00A922AA"/>
    <w:rsid w:val="00AA7530"/>
    <w:rsid w:val="00AB5C4E"/>
    <w:rsid w:val="00AC6DBA"/>
    <w:rsid w:val="00AD516B"/>
    <w:rsid w:val="00AD5A39"/>
    <w:rsid w:val="00AE79AB"/>
    <w:rsid w:val="00B0361F"/>
    <w:rsid w:val="00B12036"/>
    <w:rsid w:val="00B23DA4"/>
    <w:rsid w:val="00B2721F"/>
    <w:rsid w:val="00B27295"/>
    <w:rsid w:val="00B279A7"/>
    <w:rsid w:val="00B30943"/>
    <w:rsid w:val="00B35377"/>
    <w:rsid w:val="00B360D1"/>
    <w:rsid w:val="00B4215F"/>
    <w:rsid w:val="00B66876"/>
    <w:rsid w:val="00B812C3"/>
    <w:rsid w:val="00B8577D"/>
    <w:rsid w:val="00B87734"/>
    <w:rsid w:val="00B914D4"/>
    <w:rsid w:val="00BA202A"/>
    <w:rsid w:val="00BA5C9E"/>
    <w:rsid w:val="00BC1811"/>
    <w:rsid w:val="00BC6FF8"/>
    <w:rsid w:val="00BE1083"/>
    <w:rsid w:val="00C06EFC"/>
    <w:rsid w:val="00C13FC1"/>
    <w:rsid w:val="00C34CA5"/>
    <w:rsid w:val="00C40686"/>
    <w:rsid w:val="00C417C4"/>
    <w:rsid w:val="00C42CD8"/>
    <w:rsid w:val="00C5234B"/>
    <w:rsid w:val="00C52A05"/>
    <w:rsid w:val="00C61770"/>
    <w:rsid w:val="00C66FF6"/>
    <w:rsid w:val="00C776DA"/>
    <w:rsid w:val="00C8611E"/>
    <w:rsid w:val="00C971FC"/>
    <w:rsid w:val="00CA12F8"/>
    <w:rsid w:val="00CB7FE3"/>
    <w:rsid w:val="00CC1162"/>
    <w:rsid w:val="00CC17ED"/>
    <w:rsid w:val="00CD36D1"/>
    <w:rsid w:val="00CD430C"/>
    <w:rsid w:val="00CD5034"/>
    <w:rsid w:val="00D10FCD"/>
    <w:rsid w:val="00D1796C"/>
    <w:rsid w:val="00D17C87"/>
    <w:rsid w:val="00D23869"/>
    <w:rsid w:val="00D27F63"/>
    <w:rsid w:val="00D36666"/>
    <w:rsid w:val="00D450B1"/>
    <w:rsid w:val="00D61C73"/>
    <w:rsid w:val="00D702D2"/>
    <w:rsid w:val="00D74FB9"/>
    <w:rsid w:val="00D86E2B"/>
    <w:rsid w:val="00DC4B7C"/>
    <w:rsid w:val="00DD07FB"/>
    <w:rsid w:val="00DD7C61"/>
    <w:rsid w:val="00DD7C7D"/>
    <w:rsid w:val="00E058C3"/>
    <w:rsid w:val="00E157C1"/>
    <w:rsid w:val="00E339A8"/>
    <w:rsid w:val="00E45E66"/>
    <w:rsid w:val="00E5636A"/>
    <w:rsid w:val="00E64608"/>
    <w:rsid w:val="00E80BC2"/>
    <w:rsid w:val="00E8301C"/>
    <w:rsid w:val="00E879A0"/>
    <w:rsid w:val="00E914D2"/>
    <w:rsid w:val="00E9477D"/>
    <w:rsid w:val="00EA2205"/>
    <w:rsid w:val="00EA2A0E"/>
    <w:rsid w:val="00EB5AC2"/>
    <w:rsid w:val="00EC3E1E"/>
    <w:rsid w:val="00EC5B78"/>
    <w:rsid w:val="00EC7806"/>
    <w:rsid w:val="00ED0655"/>
    <w:rsid w:val="00ED5753"/>
    <w:rsid w:val="00EE0C3B"/>
    <w:rsid w:val="00EE2465"/>
    <w:rsid w:val="00EE3479"/>
    <w:rsid w:val="00EF1C08"/>
    <w:rsid w:val="00EF5E41"/>
    <w:rsid w:val="00EF6B98"/>
    <w:rsid w:val="00F05138"/>
    <w:rsid w:val="00F053CF"/>
    <w:rsid w:val="00F3093D"/>
    <w:rsid w:val="00F30BE5"/>
    <w:rsid w:val="00F34DAA"/>
    <w:rsid w:val="00F356B1"/>
    <w:rsid w:val="00F43B4E"/>
    <w:rsid w:val="00F61345"/>
    <w:rsid w:val="00F61922"/>
    <w:rsid w:val="00F61AF4"/>
    <w:rsid w:val="00F62479"/>
    <w:rsid w:val="00F80085"/>
    <w:rsid w:val="00F84F65"/>
    <w:rsid w:val="00F868C2"/>
    <w:rsid w:val="00FD6818"/>
    <w:rsid w:val="00FE530D"/>
    <w:rsid w:val="00FE6231"/>
    <w:rsid w:val="00F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zöveg"/>
    <w:qFormat/>
    <w:rsid w:val="00151CE0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019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1 fejezet zárójelese"/>
    <w:basedOn w:val="Normal"/>
    <w:next w:val="Normal"/>
    <w:link w:val="Heading2Char"/>
    <w:uiPriority w:val="99"/>
    <w:qFormat/>
    <w:rsid w:val="00686B61"/>
    <w:pPr>
      <w:keepNext/>
      <w:keepLines/>
      <w:numPr>
        <w:numId w:val="3"/>
      </w:numPr>
      <w:ind w:left="397" w:hanging="397"/>
      <w:outlineLvl w:val="1"/>
    </w:pPr>
  </w:style>
  <w:style w:type="paragraph" w:styleId="Heading3">
    <w:name w:val="heading 3"/>
    <w:aliases w:val="Arab számos cím"/>
    <w:basedOn w:val="Title"/>
    <w:next w:val="Normal"/>
    <w:link w:val="Heading3Char"/>
    <w:uiPriority w:val="99"/>
    <w:qFormat/>
    <w:rsid w:val="002720C8"/>
    <w:pPr>
      <w:numPr>
        <w:numId w:val="2"/>
      </w:numPr>
      <w:spacing w:before="240" w:after="240"/>
      <w:ind w:left="357" w:hanging="357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eading4">
    <w:name w:val="heading 4"/>
    <w:aliases w:val="Arab számos szöveg zárójel nélkül"/>
    <w:basedOn w:val="Normal"/>
    <w:next w:val="Normal"/>
    <w:link w:val="Heading4Char"/>
    <w:uiPriority w:val="99"/>
    <w:qFormat/>
    <w:rsid w:val="00F80085"/>
    <w:pPr>
      <w:keepNext/>
      <w:keepLines/>
      <w:numPr>
        <w:numId w:val="4"/>
      </w:numPr>
      <w:ind w:left="397" w:hanging="397"/>
      <w:outlineLvl w:val="3"/>
    </w:pPr>
  </w:style>
  <w:style w:type="paragraph" w:styleId="Heading5">
    <w:name w:val="heading 5"/>
    <w:aliases w:val="Paragrafusszám"/>
    <w:basedOn w:val="Normal"/>
    <w:next w:val="Normal"/>
    <w:link w:val="Heading5Char"/>
    <w:uiPriority w:val="99"/>
    <w:qFormat/>
    <w:rsid w:val="00EE3479"/>
    <w:pPr>
      <w:keepNext/>
      <w:keepLines/>
      <w:numPr>
        <w:numId w:val="5"/>
      </w:numPr>
      <w:spacing w:before="40" w:after="0"/>
      <w:ind w:left="357" w:hanging="35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aliases w:val="Betűs bekezdések"/>
    <w:basedOn w:val="Normal"/>
    <w:next w:val="Normal"/>
    <w:link w:val="Heading6Char"/>
    <w:uiPriority w:val="99"/>
    <w:qFormat/>
    <w:rsid w:val="00F61345"/>
    <w:pPr>
      <w:keepNext/>
      <w:keepLines/>
      <w:numPr>
        <w:numId w:val="7"/>
      </w:numPr>
      <w:outlineLvl w:val="5"/>
    </w:pPr>
  </w:style>
  <w:style w:type="paragraph" w:styleId="Heading7">
    <w:name w:val="heading 7"/>
    <w:aliases w:val="Betű betűvel"/>
    <w:basedOn w:val="Normal"/>
    <w:next w:val="Normal"/>
    <w:link w:val="Heading7Char"/>
    <w:uiPriority w:val="99"/>
    <w:qFormat/>
    <w:rsid w:val="00AC6DBA"/>
    <w:pPr>
      <w:keepNext/>
      <w:keepLines/>
      <w:numPr>
        <w:numId w:val="8"/>
      </w:numPr>
      <w:outlineLvl w:val="6"/>
    </w:pPr>
  </w:style>
  <w:style w:type="paragraph" w:styleId="Heading8">
    <w:name w:val="heading 8"/>
    <w:aliases w:val="b betű betűvel"/>
    <w:basedOn w:val="Normal"/>
    <w:next w:val="Normal"/>
    <w:link w:val="Heading8Char"/>
    <w:uiPriority w:val="99"/>
    <w:qFormat/>
    <w:rsid w:val="00AC6DBA"/>
    <w:pPr>
      <w:keepNext/>
      <w:keepLines/>
      <w:numPr>
        <w:numId w:val="9"/>
      </w:numPr>
      <w:outlineLvl w:val="7"/>
    </w:pPr>
    <w:rPr>
      <w:color w:val="272727"/>
    </w:rPr>
  </w:style>
  <w:style w:type="paragraph" w:styleId="Heading9">
    <w:name w:val="heading 9"/>
    <w:aliases w:val="c betű betűvel"/>
    <w:basedOn w:val="Normal"/>
    <w:next w:val="Normal"/>
    <w:link w:val="Heading9Char"/>
    <w:uiPriority w:val="99"/>
    <w:qFormat/>
    <w:rsid w:val="00A0023F"/>
    <w:pPr>
      <w:keepNext/>
      <w:keepLines/>
      <w:numPr>
        <w:numId w:val="10"/>
      </w:numPr>
      <w:ind w:left="1361" w:hanging="567"/>
      <w:outlineLvl w:val="8"/>
    </w:pPr>
    <w:rPr>
      <w:color w:val="2727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5D3"/>
    <w:rPr>
      <w:rFonts w:ascii="Cambria" w:hAnsi="Cambria" w:cs="Cambria"/>
      <w:b/>
      <w:bCs/>
      <w:sz w:val="28"/>
      <w:szCs w:val="28"/>
      <w:lang w:eastAsia="hu-HU"/>
    </w:rPr>
  </w:style>
  <w:style w:type="character" w:customStyle="1" w:styleId="Heading2Char">
    <w:name w:val="Heading 2 Char"/>
    <w:aliases w:val="1 fejezet zárójelese Char"/>
    <w:basedOn w:val="DefaultParagraphFont"/>
    <w:link w:val="Heading2"/>
    <w:uiPriority w:val="99"/>
    <w:locked/>
    <w:rsid w:val="00686B61"/>
    <w:rPr>
      <w:rFonts w:ascii="Times New Roman" w:hAnsi="Times New Roman" w:cs="Times New Roman"/>
      <w:sz w:val="26"/>
      <w:szCs w:val="26"/>
      <w:lang w:eastAsia="hu-HU"/>
    </w:rPr>
  </w:style>
  <w:style w:type="character" w:customStyle="1" w:styleId="Heading3Char">
    <w:name w:val="Heading 3 Char"/>
    <w:aliases w:val="Arab számos cím Char"/>
    <w:basedOn w:val="DefaultParagraphFont"/>
    <w:link w:val="Heading3"/>
    <w:uiPriority w:val="99"/>
    <w:locked/>
    <w:rsid w:val="002720C8"/>
    <w:rPr>
      <w:rFonts w:ascii="Times New Roman" w:hAnsi="Times New Roman" w:cs="Times New Roman"/>
      <w:b/>
      <w:bCs/>
      <w:i/>
      <w:iCs/>
      <w:spacing w:val="-10"/>
      <w:kern w:val="28"/>
      <w:sz w:val="56"/>
      <w:szCs w:val="56"/>
      <w:lang w:eastAsia="hu-HU"/>
    </w:rPr>
  </w:style>
  <w:style w:type="character" w:customStyle="1" w:styleId="Heading4Char">
    <w:name w:val="Heading 4 Char"/>
    <w:aliases w:val="Arab számos szöveg zárójel nélkül Char"/>
    <w:basedOn w:val="DefaultParagraphFont"/>
    <w:link w:val="Heading4"/>
    <w:uiPriority w:val="99"/>
    <w:locked/>
    <w:rsid w:val="00F80085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5Char">
    <w:name w:val="Heading 5 Char"/>
    <w:aliases w:val="Paragrafusszám Char"/>
    <w:basedOn w:val="DefaultParagraphFont"/>
    <w:link w:val="Heading5"/>
    <w:uiPriority w:val="99"/>
    <w:locked/>
    <w:rsid w:val="00EE3479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6Char">
    <w:name w:val="Heading 6 Char"/>
    <w:aliases w:val="Betűs bekezdések Char"/>
    <w:basedOn w:val="DefaultParagraphFont"/>
    <w:link w:val="Heading6"/>
    <w:uiPriority w:val="99"/>
    <w:locked/>
    <w:rsid w:val="00F61345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7Char">
    <w:name w:val="Heading 7 Char"/>
    <w:aliases w:val="Betű betűvel Char"/>
    <w:basedOn w:val="DefaultParagraphFont"/>
    <w:link w:val="Heading7"/>
    <w:uiPriority w:val="99"/>
    <w:locked/>
    <w:rsid w:val="006D775C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8Char">
    <w:name w:val="Heading 8 Char"/>
    <w:aliases w:val="b betű betűvel Char"/>
    <w:basedOn w:val="DefaultParagraphFont"/>
    <w:link w:val="Heading8"/>
    <w:uiPriority w:val="99"/>
    <w:locked/>
    <w:rsid w:val="006D775C"/>
    <w:rPr>
      <w:rFonts w:ascii="Times New Roman" w:hAnsi="Times New Roman" w:cs="Times New Roman"/>
      <w:color w:val="272727"/>
      <w:sz w:val="21"/>
      <w:szCs w:val="21"/>
      <w:lang w:eastAsia="hu-HU"/>
    </w:rPr>
  </w:style>
  <w:style w:type="character" w:customStyle="1" w:styleId="Heading9Char">
    <w:name w:val="Heading 9 Char"/>
    <w:aliases w:val="c betű betűvel Char"/>
    <w:basedOn w:val="DefaultParagraphFont"/>
    <w:link w:val="Heading9"/>
    <w:uiPriority w:val="99"/>
    <w:locked/>
    <w:rsid w:val="00A0023F"/>
    <w:rPr>
      <w:rFonts w:ascii="Times New Roman" w:hAnsi="Times New Roman" w:cs="Times New Roman"/>
      <w:color w:val="272727"/>
      <w:sz w:val="21"/>
      <w:szCs w:val="21"/>
      <w:lang w:eastAsia="hu-HU"/>
    </w:rPr>
  </w:style>
  <w:style w:type="paragraph" w:styleId="ListParagraph">
    <w:name w:val="List Paragraph"/>
    <w:basedOn w:val="Normal"/>
    <w:link w:val="ListParagraphChar"/>
    <w:uiPriority w:val="99"/>
    <w:qFormat/>
    <w:rsid w:val="00B279A7"/>
    <w:pPr>
      <w:ind w:left="720"/>
    </w:pPr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B279A7"/>
  </w:style>
  <w:style w:type="character" w:customStyle="1" w:styleId="BodyTextChar">
    <w:name w:val="Body Text Char"/>
    <w:basedOn w:val="DefaultParagraphFont"/>
    <w:link w:val="BodyText"/>
    <w:uiPriority w:val="99"/>
    <w:locked/>
    <w:rsid w:val="00B279A7"/>
    <w:rPr>
      <w:rFonts w:ascii="Cambria" w:hAnsi="Cambria" w:cs="Cambria"/>
      <w:sz w:val="24"/>
      <w:szCs w:val="24"/>
      <w:lang w:eastAsia="hu-HU"/>
    </w:rPr>
  </w:style>
  <w:style w:type="character" w:customStyle="1" w:styleId="ListParagraphChar">
    <w:name w:val="List Paragraph Char"/>
    <w:link w:val="ListParagraph"/>
    <w:uiPriority w:val="99"/>
    <w:locked/>
    <w:rsid w:val="0045618A"/>
    <w:rPr>
      <w:rFonts w:ascii="Cambria" w:hAnsi="Cambria" w:cs="Cambria"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4561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mtudom">
    <w:name w:val="nem tudom"/>
    <w:basedOn w:val="Normal"/>
    <w:next w:val="2fejezetzrjelese"/>
    <w:link w:val="nemtudomChar"/>
    <w:uiPriority w:val="99"/>
    <w:rsid w:val="008D5A5D"/>
    <w:pPr>
      <w:autoSpaceDE w:val="0"/>
      <w:autoSpaceDN w:val="0"/>
      <w:adjustRightInd w:val="0"/>
      <w:spacing w:before="0" w:after="0"/>
    </w:pPr>
    <w:rPr>
      <w:rFonts w:eastAsia="Calibri"/>
      <w:lang w:eastAsia="en-US"/>
    </w:rPr>
  </w:style>
  <w:style w:type="paragraph" w:customStyle="1" w:styleId="Rmaiszmoscm">
    <w:name w:val="Római számos cím"/>
    <w:basedOn w:val="Normal"/>
    <w:next w:val="Normal"/>
    <w:link w:val="RmaiszmoscmChar"/>
    <w:uiPriority w:val="99"/>
    <w:rsid w:val="00151CE0"/>
    <w:pPr>
      <w:numPr>
        <w:numId w:val="1"/>
      </w:numPr>
      <w:tabs>
        <w:tab w:val="left" w:pos="426"/>
      </w:tabs>
      <w:autoSpaceDE w:val="0"/>
      <w:autoSpaceDN w:val="0"/>
      <w:adjustRightInd w:val="0"/>
      <w:spacing w:before="60" w:after="60"/>
      <w:jc w:val="center"/>
    </w:pPr>
    <w:rPr>
      <w:rFonts w:eastAsia="Calibri"/>
      <w:b/>
      <w:bCs/>
      <w:i/>
      <w:iCs/>
      <w:sz w:val="28"/>
      <w:szCs w:val="28"/>
      <w:lang w:eastAsia="en-US"/>
    </w:rPr>
  </w:style>
  <w:style w:type="character" w:customStyle="1" w:styleId="nemtudomChar">
    <w:name w:val="nem tudom Char"/>
    <w:basedOn w:val="DefaultParagraphFont"/>
    <w:link w:val="nemtudom"/>
    <w:uiPriority w:val="99"/>
    <w:locked/>
    <w:rsid w:val="008D5A5D"/>
    <w:rPr>
      <w:rFonts w:ascii="Times New Roman" w:hAnsi="Times New Roman" w:cs="Times New Roman"/>
      <w:sz w:val="20"/>
      <w:szCs w:val="20"/>
    </w:rPr>
  </w:style>
  <w:style w:type="character" w:customStyle="1" w:styleId="RmaiszmoscmChar">
    <w:name w:val="Római számos cím Char"/>
    <w:basedOn w:val="DefaultParagraphFont"/>
    <w:link w:val="Rmaiszmoscm"/>
    <w:uiPriority w:val="99"/>
    <w:locked/>
    <w:rsid w:val="00151CE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rsid w:val="0071747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71747B"/>
  </w:style>
  <w:style w:type="character" w:styleId="Strong">
    <w:name w:val="Strong"/>
    <w:basedOn w:val="DefaultParagraphFont"/>
    <w:uiPriority w:val="99"/>
    <w:qFormat/>
    <w:rsid w:val="0061399E"/>
    <w:rPr>
      <w:b/>
      <w:bCs/>
    </w:rPr>
  </w:style>
  <w:style w:type="paragraph" w:customStyle="1" w:styleId="cf0">
    <w:name w:val="cf0"/>
    <w:basedOn w:val="Normal"/>
    <w:uiPriority w:val="99"/>
    <w:rsid w:val="00092796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rsid w:val="009856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6FE"/>
    <w:rPr>
      <w:rFonts w:ascii="Cambria" w:hAnsi="Cambria" w:cs="Cambria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9856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6FE"/>
    <w:rPr>
      <w:rFonts w:ascii="Cambria" w:hAnsi="Cambria" w:cs="Cambria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53783F"/>
    <w:pPr>
      <w:spacing w:line="48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783F"/>
  </w:style>
  <w:style w:type="paragraph" w:styleId="Title">
    <w:name w:val="Title"/>
    <w:basedOn w:val="Normal"/>
    <w:next w:val="Normal"/>
    <w:link w:val="TitleChar"/>
    <w:uiPriority w:val="99"/>
    <w:qFormat/>
    <w:rsid w:val="00086E1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86E1F"/>
    <w:rPr>
      <w:rFonts w:ascii="Calibri Light" w:hAnsi="Calibri Light" w:cs="Calibri Light"/>
      <w:spacing w:val="-10"/>
      <w:kern w:val="28"/>
      <w:sz w:val="56"/>
      <w:szCs w:val="56"/>
      <w:lang w:eastAsia="hu-HU"/>
    </w:rPr>
  </w:style>
  <w:style w:type="paragraph" w:customStyle="1" w:styleId="2fejezetzrjelese">
    <w:name w:val="2 fejezet zárójelese"/>
    <w:basedOn w:val="ListParagraph"/>
    <w:link w:val="2fejezetzrjeleseChar"/>
    <w:uiPriority w:val="99"/>
    <w:rsid w:val="00F80085"/>
    <w:pPr>
      <w:numPr>
        <w:numId w:val="6"/>
      </w:numPr>
      <w:ind w:hanging="357"/>
    </w:pPr>
  </w:style>
  <w:style w:type="character" w:customStyle="1" w:styleId="2fejezetzrjeleseChar">
    <w:name w:val="2 fejezet zárójelese Char"/>
    <w:basedOn w:val="ListParagraphChar"/>
    <w:link w:val="2fejezetzrjelese"/>
    <w:uiPriority w:val="99"/>
    <w:locked/>
    <w:rsid w:val="00F80085"/>
    <w:rPr>
      <w:rFonts w:ascii="Times New Roman" w:hAnsi="Times New Roman" w:cs="Times New Roman"/>
    </w:rPr>
  </w:style>
  <w:style w:type="paragraph" w:styleId="Subtitle">
    <w:name w:val="Subtitle"/>
    <w:basedOn w:val="Rmaiszmoscm"/>
    <w:next w:val="Normal"/>
    <w:link w:val="SubtitleChar"/>
    <w:uiPriority w:val="99"/>
    <w:qFormat/>
    <w:rsid w:val="002E0DFE"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E0DF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Spacing">
    <w:name w:val="No Spacing"/>
    <w:uiPriority w:val="99"/>
    <w:qFormat/>
    <w:rsid w:val="00B914D4"/>
    <w:pPr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uiPriority w:val="99"/>
    <w:rsid w:val="00950A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2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15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1970</Words>
  <Characters>13600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Tiszaderzs Községi Önkormányzat Képviselő-testületének</dc:title>
  <dc:subject/>
  <dc:creator>Windows-felhasználó</dc:creator>
  <cp:keywords/>
  <dc:description/>
  <cp:lastModifiedBy>.</cp:lastModifiedBy>
  <cp:revision>2</cp:revision>
  <dcterms:created xsi:type="dcterms:W3CDTF">2018-01-04T07:27:00Z</dcterms:created>
  <dcterms:modified xsi:type="dcterms:W3CDTF">2018-01-04T07:27:00Z</dcterms:modified>
</cp:coreProperties>
</file>